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8D1" w:rsidRDefault="006558D1" w:rsidP="006558D1">
      <w:pPr>
        <w:pStyle w:val="2"/>
        <w:tabs>
          <w:tab w:val="left" w:pos="0"/>
        </w:tabs>
        <w:ind w:firstLine="8080"/>
        <w:rPr>
          <w:szCs w:val="28"/>
          <w:lang w:val="ru-RU"/>
        </w:rPr>
      </w:pPr>
      <w:r>
        <w:rPr>
          <w:sz w:val="27"/>
          <w:szCs w:val="27"/>
          <w:lang w:val="ru-RU"/>
        </w:rPr>
        <w:tab/>
      </w:r>
      <w:r>
        <w:rPr>
          <w:sz w:val="27"/>
          <w:szCs w:val="27"/>
          <w:lang w:val="ru-RU"/>
        </w:rPr>
        <w:tab/>
      </w:r>
      <w:r>
        <w:rPr>
          <w:sz w:val="27"/>
          <w:szCs w:val="27"/>
          <w:lang w:val="ru-RU"/>
        </w:rPr>
        <w:tab/>
      </w:r>
      <w:r>
        <w:rPr>
          <w:sz w:val="27"/>
          <w:szCs w:val="27"/>
          <w:lang w:val="ru-RU"/>
        </w:rPr>
        <w:tab/>
      </w:r>
      <w:r>
        <w:rPr>
          <w:sz w:val="27"/>
          <w:szCs w:val="27"/>
          <w:lang w:val="ru-RU"/>
        </w:rPr>
        <w:tab/>
      </w:r>
      <w:r>
        <w:rPr>
          <w:sz w:val="27"/>
          <w:szCs w:val="27"/>
          <w:lang w:val="ru-RU"/>
        </w:rPr>
        <w:tab/>
      </w:r>
      <w:r>
        <w:rPr>
          <w:sz w:val="27"/>
          <w:szCs w:val="27"/>
          <w:lang w:val="ru-RU"/>
        </w:rPr>
        <w:tab/>
      </w:r>
      <w:r>
        <w:rPr>
          <w:sz w:val="27"/>
          <w:szCs w:val="27"/>
          <w:lang w:val="ru-RU"/>
        </w:rPr>
        <w:tab/>
      </w:r>
      <w:r>
        <w:rPr>
          <w:sz w:val="27"/>
          <w:szCs w:val="27"/>
          <w:lang w:val="ru-RU"/>
        </w:rPr>
        <w:tab/>
      </w:r>
      <w:r>
        <w:rPr>
          <w:szCs w:val="28"/>
          <w:lang w:val="ru-RU"/>
        </w:rPr>
        <w:t xml:space="preserve">Приложение к приказу </w:t>
      </w:r>
    </w:p>
    <w:p w:rsidR="006558D1" w:rsidRDefault="006558D1" w:rsidP="006558D1">
      <w:pPr>
        <w:pStyle w:val="2"/>
        <w:tabs>
          <w:tab w:val="left" w:pos="0"/>
        </w:tabs>
        <w:ind w:firstLine="4962"/>
        <w:rPr>
          <w:szCs w:val="28"/>
          <w:lang w:val="ru-RU"/>
        </w:rPr>
      </w:pPr>
      <w:r>
        <w:rPr>
          <w:szCs w:val="28"/>
          <w:lang w:val="ru-RU"/>
        </w:rPr>
        <w:t>от «___» _______202</w:t>
      </w:r>
      <w:r w:rsidR="00A02FA3">
        <w:rPr>
          <w:szCs w:val="28"/>
          <w:lang w:val="ru-RU"/>
        </w:rPr>
        <w:t>6</w:t>
      </w:r>
      <w:r>
        <w:rPr>
          <w:szCs w:val="28"/>
          <w:lang w:val="ru-RU"/>
        </w:rPr>
        <w:t xml:space="preserve"> г. № ____</w:t>
      </w:r>
    </w:p>
    <w:p w:rsidR="006558D1" w:rsidRDefault="006558D1" w:rsidP="006558D1">
      <w:pPr>
        <w:rPr>
          <w:lang w:eastAsia="x-none"/>
        </w:rPr>
      </w:pPr>
    </w:p>
    <w:p w:rsidR="006558D1" w:rsidRDefault="006558D1" w:rsidP="006558D1">
      <w:pPr>
        <w:pStyle w:val="2"/>
        <w:tabs>
          <w:tab w:val="left" w:pos="0"/>
        </w:tabs>
        <w:jc w:val="center"/>
        <w:rPr>
          <w:sz w:val="27"/>
          <w:szCs w:val="27"/>
          <w:lang w:val="ru-RU"/>
        </w:rPr>
      </w:pPr>
      <w:r>
        <w:rPr>
          <w:b/>
          <w:bCs w:val="0"/>
          <w:sz w:val="27"/>
          <w:szCs w:val="27"/>
          <w:lang w:val="ru-RU"/>
        </w:rPr>
        <w:t xml:space="preserve">Основные положения учетной политики </w:t>
      </w:r>
      <w:r>
        <w:rPr>
          <w:b/>
          <w:sz w:val="27"/>
          <w:szCs w:val="27"/>
        </w:rPr>
        <w:t>муниципального казенного учреждения</w:t>
      </w:r>
      <w:r>
        <w:rPr>
          <w:b/>
          <w:sz w:val="27"/>
          <w:szCs w:val="27"/>
          <w:lang w:val="ru-RU"/>
        </w:rPr>
        <w:t xml:space="preserve"> </w:t>
      </w:r>
      <w:r>
        <w:rPr>
          <w:b/>
          <w:sz w:val="27"/>
          <w:szCs w:val="27"/>
        </w:rPr>
        <w:t>«Хозяйственно – эксплуатационное управление»</w:t>
      </w:r>
      <w:r>
        <w:rPr>
          <w:b/>
          <w:sz w:val="27"/>
          <w:szCs w:val="27"/>
          <w:lang w:val="ru-RU"/>
        </w:rPr>
        <w:t xml:space="preserve"> для публичного раскрытия на официальном сайте </w:t>
      </w:r>
      <w:r w:rsidR="002B1385">
        <w:rPr>
          <w:b/>
          <w:sz w:val="27"/>
          <w:szCs w:val="27"/>
          <w:lang w:val="ru-RU"/>
        </w:rPr>
        <w:t>администрации</w:t>
      </w:r>
      <w:r>
        <w:rPr>
          <w:b/>
          <w:sz w:val="27"/>
          <w:szCs w:val="27"/>
          <w:lang w:val="ru-RU"/>
        </w:rPr>
        <w:t xml:space="preserve"> г. Сургут  </w:t>
      </w:r>
      <w:r>
        <w:rPr>
          <w:sz w:val="27"/>
          <w:szCs w:val="27"/>
          <w:lang w:val="ru-RU"/>
        </w:rPr>
        <w:t xml:space="preserve">   </w:t>
      </w:r>
    </w:p>
    <w:p w:rsidR="006558D1" w:rsidRDefault="006558D1" w:rsidP="006558D1">
      <w:pPr>
        <w:pStyle w:val="2"/>
        <w:tabs>
          <w:tab w:val="left" w:pos="0"/>
        </w:tabs>
        <w:jc w:val="center"/>
        <w:rPr>
          <w:b/>
          <w:sz w:val="27"/>
          <w:szCs w:val="27"/>
          <w:highlight w:val="yellow"/>
          <w:lang w:val="ru-RU"/>
        </w:rPr>
      </w:pPr>
    </w:p>
    <w:p w:rsidR="006558D1" w:rsidRDefault="006558D1" w:rsidP="006558D1">
      <w:pPr>
        <w:pStyle w:val="2"/>
        <w:tabs>
          <w:tab w:val="left" w:pos="0"/>
          <w:tab w:val="left" w:pos="540"/>
        </w:tabs>
        <w:spacing w:line="360" w:lineRule="auto"/>
        <w:ind w:firstLine="567"/>
        <w:rPr>
          <w:szCs w:val="28"/>
          <w:lang w:val="ru-RU"/>
        </w:rPr>
      </w:pPr>
      <w:r>
        <w:rPr>
          <w:szCs w:val="28"/>
          <w:lang w:val="ru-RU"/>
        </w:rPr>
        <w:t>Организация ведения бюджетного учета и формирование бюджетной отчетности МКУ «ХЭУ» регламентируется требования Федерального закона от 06 декабря 2011 г. № 402-ФЗ «О бухгалтерском учете» с учетом положений бюджетного законодательства Российской Федерации и следующими приказами Министерства финансов Российской Федерации</w:t>
      </w:r>
      <w:r>
        <w:rPr>
          <w:szCs w:val="28"/>
        </w:rPr>
        <w:t>:</w:t>
      </w:r>
    </w:p>
    <w:p w:rsidR="003C3337" w:rsidRDefault="003C3337" w:rsidP="003C3337">
      <w:pPr>
        <w:spacing w:line="360" w:lineRule="auto"/>
        <w:ind w:firstLine="567"/>
        <w:jc w:val="both"/>
        <w:rPr>
          <w:bCs/>
          <w:sz w:val="28"/>
          <w:szCs w:val="28"/>
          <w:lang w:eastAsia="x-none"/>
        </w:rPr>
      </w:pPr>
      <w:r w:rsidRPr="003C3337">
        <w:rPr>
          <w:bCs/>
          <w:sz w:val="28"/>
          <w:szCs w:val="28"/>
          <w:lang w:eastAsia="x-none"/>
        </w:rPr>
        <w:t xml:space="preserve">- </w:t>
      </w:r>
      <w:r>
        <w:rPr>
          <w:bCs/>
          <w:sz w:val="28"/>
          <w:szCs w:val="28"/>
          <w:lang w:eastAsia="x-none"/>
        </w:rPr>
        <w:t>п</w:t>
      </w:r>
      <w:r w:rsidRPr="003C3337">
        <w:rPr>
          <w:bCs/>
          <w:sz w:val="28"/>
          <w:szCs w:val="28"/>
          <w:lang w:eastAsia="x-none"/>
        </w:rPr>
        <w:t>риказ</w:t>
      </w:r>
      <w:r>
        <w:rPr>
          <w:bCs/>
          <w:sz w:val="28"/>
          <w:szCs w:val="28"/>
          <w:lang w:eastAsia="x-none"/>
        </w:rPr>
        <w:t>ом</w:t>
      </w:r>
      <w:r w:rsidRPr="003C3337">
        <w:rPr>
          <w:bCs/>
          <w:sz w:val="28"/>
          <w:szCs w:val="28"/>
          <w:lang w:eastAsia="x-none"/>
        </w:rPr>
        <w:t xml:space="preserve"> Минфина России от 30.08.2024 № 121н «Об утверждении федерального стандарта бухгалтерского учета государственных финансов "Единый план счетов бухгалтерского учета государственных финансов»</w:t>
      </w:r>
      <w:r w:rsidR="006F700D">
        <w:rPr>
          <w:bCs/>
          <w:sz w:val="28"/>
          <w:szCs w:val="28"/>
          <w:lang w:eastAsia="x-none"/>
        </w:rPr>
        <w:t xml:space="preserve"> (далее по тексту – приказ № 121н)</w:t>
      </w:r>
      <w:r w:rsidRPr="003C3337">
        <w:rPr>
          <w:bCs/>
          <w:sz w:val="28"/>
          <w:szCs w:val="28"/>
          <w:lang w:eastAsia="x-none"/>
        </w:rPr>
        <w:t>;</w:t>
      </w:r>
    </w:p>
    <w:p w:rsidR="006558D1" w:rsidRDefault="006558D1" w:rsidP="006558D1">
      <w:pPr>
        <w:pStyle w:val="3"/>
        <w:tabs>
          <w:tab w:val="left" w:pos="0"/>
        </w:tabs>
        <w:ind w:left="0"/>
        <w:rPr>
          <w:rFonts w:eastAsia="SimSun"/>
          <w:szCs w:val="28"/>
          <w:lang w:val="ru-RU" w:eastAsia="zh-CN"/>
        </w:rPr>
      </w:pPr>
      <w:r>
        <w:rPr>
          <w:szCs w:val="28"/>
          <w:lang w:val="ru-RU"/>
        </w:rPr>
        <w:t xml:space="preserve">    </w:t>
      </w:r>
      <w:r>
        <w:rPr>
          <w:szCs w:val="28"/>
        </w:rPr>
        <w:t xml:space="preserve"> -  </w:t>
      </w:r>
      <w:r>
        <w:rPr>
          <w:szCs w:val="28"/>
          <w:lang w:val="ru-RU"/>
        </w:rPr>
        <w:t>п</w:t>
      </w:r>
      <w:proofErr w:type="spellStart"/>
      <w:r>
        <w:rPr>
          <w:rFonts w:eastAsia="SimSun"/>
          <w:szCs w:val="28"/>
          <w:lang w:eastAsia="zh-CN"/>
        </w:rPr>
        <w:t>риказ</w:t>
      </w:r>
      <w:r>
        <w:rPr>
          <w:rFonts w:eastAsia="SimSun"/>
          <w:szCs w:val="28"/>
          <w:lang w:val="ru-RU" w:eastAsia="zh-CN"/>
        </w:rPr>
        <w:t>ом</w:t>
      </w:r>
      <w:proofErr w:type="spellEnd"/>
      <w:r>
        <w:rPr>
          <w:rFonts w:eastAsia="SimSun"/>
          <w:szCs w:val="28"/>
          <w:lang w:eastAsia="zh-CN"/>
        </w:rPr>
        <w:t xml:space="preserve"> Минфина РФ от 28.12.2010 года № 191н «Об утверждении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</w:t>
      </w:r>
      <w:r>
        <w:rPr>
          <w:rFonts w:eastAsia="SimSun"/>
          <w:szCs w:val="28"/>
          <w:lang w:val="ru-RU" w:eastAsia="zh-CN"/>
        </w:rPr>
        <w:t>;</w:t>
      </w:r>
    </w:p>
    <w:p w:rsidR="006558D1" w:rsidRDefault="006558D1" w:rsidP="006558D1">
      <w:pPr>
        <w:pStyle w:val="2"/>
        <w:tabs>
          <w:tab w:val="left" w:pos="0"/>
          <w:tab w:val="left" w:pos="540"/>
        </w:tabs>
        <w:spacing w:line="360" w:lineRule="auto"/>
        <w:ind w:firstLine="567"/>
        <w:rPr>
          <w:szCs w:val="28"/>
          <w:lang w:val="ru-RU"/>
        </w:rPr>
      </w:pPr>
      <w:r>
        <w:rPr>
          <w:szCs w:val="28"/>
          <w:lang w:val="ru-RU"/>
        </w:rPr>
        <w:t>-</w:t>
      </w:r>
      <w:r>
        <w:rPr>
          <w:szCs w:val="28"/>
        </w:rPr>
        <w:t xml:space="preserve"> приказом Минфина от 29.11.2017 № 209н «Об утверждении Порядка применения классификации операций сектора государственного управления» (далее – приказ № 209н);</w:t>
      </w:r>
    </w:p>
    <w:p w:rsidR="006558D1" w:rsidRDefault="006558D1" w:rsidP="006558D1">
      <w:pPr>
        <w:pStyle w:val="2"/>
        <w:tabs>
          <w:tab w:val="left" w:pos="0"/>
          <w:tab w:val="left" w:pos="540"/>
        </w:tabs>
        <w:spacing w:line="360" w:lineRule="auto"/>
        <w:ind w:firstLine="567"/>
        <w:rPr>
          <w:szCs w:val="28"/>
        </w:rPr>
      </w:pPr>
      <w:r>
        <w:rPr>
          <w:szCs w:val="28"/>
          <w:lang w:val="ru-RU"/>
        </w:rPr>
        <w:t>-</w:t>
      </w:r>
      <w:r>
        <w:rPr>
          <w:szCs w:val="28"/>
        </w:rPr>
        <w:t xml:space="preserve"> приказом Минфина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</w:t>
      </w:r>
      <w:r w:rsidR="003C3337">
        <w:rPr>
          <w:szCs w:val="28"/>
          <w:lang w:val="ru-RU"/>
        </w:rPr>
        <w:t xml:space="preserve">далее по тексту - </w:t>
      </w:r>
      <w:r>
        <w:rPr>
          <w:szCs w:val="28"/>
        </w:rPr>
        <w:t xml:space="preserve">приказ № 52н); </w:t>
      </w:r>
    </w:p>
    <w:p w:rsidR="003C3337" w:rsidRPr="003C3337" w:rsidRDefault="003C3337" w:rsidP="003C3337">
      <w:pPr>
        <w:spacing w:line="360" w:lineRule="auto"/>
        <w:ind w:firstLine="567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- </w:t>
      </w:r>
      <w:bookmarkStart w:id="0" w:name="_GoBack"/>
      <w:r>
        <w:rPr>
          <w:bCs/>
          <w:sz w:val="28"/>
          <w:szCs w:val="28"/>
          <w:lang w:eastAsia="x-none"/>
        </w:rPr>
        <w:t>п</w:t>
      </w:r>
      <w:proofErr w:type="spellStart"/>
      <w:r w:rsidRPr="003C3337">
        <w:rPr>
          <w:bCs/>
          <w:sz w:val="28"/>
          <w:szCs w:val="28"/>
          <w:lang w:val="x-none" w:eastAsia="x-none"/>
        </w:rPr>
        <w:t>риказ</w:t>
      </w:r>
      <w:r>
        <w:rPr>
          <w:bCs/>
          <w:sz w:val="28"/>
          <w:szCs w:val="28"/>
          <w:lang w:eastAsia="x-none"/>
        </w:rPr>
        <w:t>ом</w:t>
      </w:r>
      <w:proofErr w:type="spellEnd"/>
      <w:r w:rsidRPr="003C3337">
        <w:rPr>
          <w:bCs/>
          <w:sz w:val="28"/>
          <w:szCs w:val="28"/>
          <w:lang w:val="x-none" w:eastAsia="x-none"/>
        </w:rPr>
        <w:t xml:space="preserve"> </w:t>
      </w:r>
      <w:bookmarkEnd w:id="0"/>
      <w:r w:rsidRPr="003C3337">
        <w:rPr>
          <w:bCs/>
          <w:sz w:val="28"/>
          <w:szCs w:val="28"/>
          <w:lang w:val="x-none" w:eastAsia="x-none"/>
        </w:rPr>
        <w:t>Минфина России от 15 апреля 2021 г. № 61н</w:t>
      </w:r>
      <w:r>
        <w:rPr>
          <w:bCs/>
          <w:sz w:val="28"/>
          <w:szCs w:val="28"/>
          <w:lang w:eastAsia="x-none"/>
        </w:rPr>
        <w:t xml:space="preserve"> «</w:t>
      </w:r>
      <w:r w:rsidRPr="003C3337">
        <w:rPr>
          <w:bCs/>
          <w:sz w:val="28"/>
          <w:szCs w:val="28"/>
          <w:lang w:val="x-none" w:eastAsia="x-none"/>
        </w:rPr>
        <w:t xml:space="preserve">Об утверждении унифицированных форм электронных документов бухгалтерского учета, </w:t>
      </w:r>
      <w:r>
        <w:rPr>
          <w:bCs/>
          <w:sz w:val="28"/>
          <w:szCs w:val="28"/>
          <w:lang w:eastAsia="x-none"/>
        </w:rPr>
        <w:lastRenderedPageBreak/>
        <w:t>п</w:t>
      </w:r>
      <w:proofErr w:type="spellStart"/>
      <w:r w:rsidR="002B1385">
        <w:rPr>
          <w:bCs/>
          <w:sz w:val="28"/>
          <w:szCs w:val="28"/>
          <w:lang w:val="x-none" w:eastAsia="x-none"/>
        </w:rPr>
        <w:t>риме</w:t>
      </w:r>
      <w:r w:rsidRPr="003C3337">
        <w:rPr>
          <w:bCs/>
          <w:sz w:val="28"/>
          <w:szCs w:val="28"/>
          <w:lang w:val="x-none" w:eastAsia="x-none"/>
        </w:rPr>
        <w:t>няемых</w:t>
      </w:r>
      <w:proofErr w:type="spellEnd"/>
      <w:r w:rsidRPr="003C3337">
        <w:rPr>
          <w:bCs/>
          <w:sz w:val="28"/>
          <w:szCs w:val="28"/>
          <w:lang w:val="x-none" w:eastAsia="x-none"/>
        </w:rPr>
        <w:t xml:space="preserve">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</w:t>
      </w:r>
      <w:r>
        <w:rPr>
          <w:bCs/>
          <w:sz w:val="28"/>
          <w:szCs w:val="28"/>
          <w:lang w:eastAsia="x-none"/>
        </w:rPr>
        <w:t>» (далее по тексту – приказ № 61н);</w:t>
      </w:r>
    </w:p>
    <w:p w:rsidR="006558D1" w:rsidRDefault="006558D1" w:rsidP="003C3337">
      <w:pPr>
        <w:pStyle w:val="2"/>
        <w:tabs>
          <w:tab w:val="left" w:pos="0"/>
          <w:tab w:val="left" w:pos="540"/>
        </w:tabs>
        <w:spacing w:line="360" w:lineRule="auto"/>
        <w:ind w:firstLine="567"/>
        <w:rPr>
          <w:szCs w:val="28"/>
          <w:lang w:val="ru-RU"/>
        </w:rPr>
      </w:pPr>
      <w:r>
        <w:rPr>
          <w:szCs w:val="28"/>
          <w:lang w:val="ru-RU"/>
        </w:rPr>
        <w:t>-</w:t>
      </w:r>
      <w:r>
        <w:rPr>
          <w:szCs w:val="28"/>
        </w:rPr>
        <w:t xml:space="preserve"> федеральными стандартами бухгалтерского учета для организаций государственного сектора, утвержденными приказами Минфина от 31.12.2016 № 256н, № 257н, № 258н, № 259н, № 260н (далее – соответственно СГС «Концептуальные основы бухучета и отчетности», СГС «Основные средства», СГС «Аренда», СГС «Обесценение активов», СГС «Представление бухгалтерской (финансовой) отчетности»), от 30.12.2017 № 274н, № 275н, № 278н (далее – соответственно СГС «Учетная политика, оценочные значения и ошибки», СГС «События после отчетной даты», СГС «Отчет о движении денежных средств»), от 27.02.2018 № 32н (далее – СГС «Доходы»). В части исполнения полномочий получателя бюджетных средств Учреждение ведет учет в соответствии с приказом Минфина </w:t>
      </w:r>
      <w:r w:rsidR="003C3337" w:rsidRPr="003C3337">
        <w:rPr>
          <w:szCs w:val="28"/>
        </w:rPr>
        <w:t>Приказ Минфина России от 20 сентября 2024 г. № 132н</w:t>
      </w:r>
      <w:r w:rsidR="003C3337">
        <w:rPr>
          <w:szCs w:val="28"/>
          <w:lang w:val="ru-RU"/>
        </w:rPr>
        <w:t xml:space="preserve"> «</w:t>
      </w:r>
      <w:r w:rsidR="003C3337" w:rsidRPr="003C3337">
        <w:rPr>
          <w:szCs w:val="28"/>
        </w:rPr>
        <w:t xml:space="preserve">Об утверждении федерального стандарта бухгалтерского </w:t>
      </w:r>
      <w:r w:rsidR="003C3337">
        <w:rPr>
          <w:szCs w:val="28"/>
        </w:rPr>
        <w:t xml:space="preserve">учета государственных финансов </w:t>
      </w:r>
      <w:r w:rsidR="003C3337">
        <w:rPr>
          <w:szCs w:val="28"/>
          <w:lang w:val="ru-RU"/>
        </w:rPr>
        <w:t>«</w:t>
      </w:r>
      <w:r w:rsidR="003C3337" w:rsidRPr="003C3337">
        <w:rPr>
          <w:szCs w:val="28"/>
        </w:rPr>
        <w:t>План счетов бюджетного учета</w:t>
      </w:r>
      <w:r w:rsidR="003C3337">
        <w:rPr>
          <w:szCs w:val="28"/>
          <w:lang w:val="ru-RU"/>
        </w:rPr>
        <w:t>»</w:t>
      </w:r>
      <w:r w:rsidR="006F700D">
        <w:rPr>
          <w:szCs w:val="28"/>
          <w:lang w:val="ru-RU"/>
        </w:rPr>
        <w:t xml:space="preserve"> (далее по тексту – приказ № 132н)</w:t>
      </w:r>
      <w:r>
        <w:rPr>
          <w:szCs w:val="28"/>
          <w:lang w:val="ru-RU"/>
        </w:rPr>
        <w:t>;</w:t>
      </w:r>
    </w:p>
    <w:p w:rsidR="006558D1" w:rsidRDefault="006558D1" w:rsidP="006558D1">
      <w:pPr>
        <w:spacing w:line="360" w:lineRule="auto"/>
        <w:jc w:val="both"/>
        <w:rPr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         - </w:t>
      </w:r>
      <w:r>
        <w:rPr>
          <w:sz w:val="28"/>
          <w:szCs w:val="28"/>
        </w:rPr>
        <w:t>приказом от 30.12.2019 г. № 29-О-259/9 «Об учетной политике»</w:t>
      </w:r>
      <w:r w:rsidR="006F700D">
        <w:rPr>
          <w:sz w:val="28"/>
          <w:szCs w:val="28"/>
        </w:rPr>
        <w:t xml:space="preserve"> (далее по тексту – приказ «Об учетной политике»)</w:t>
      </w:r>
      <w:r>
        <w:rPr>
          <w:sz w:val="28"/>
          <w:szCs w:val="28"/>
        </w:rPr>
        <w:t>;</w:t>
      </w:r>
    </w:p>
    <w:p w:rsidR="006218A9" w:rsidRDefault="006558D1" w:rsidP="006218A9">
      <w:pPr>
        <w:spacing w:line="360" w:lineRule="auto"/>
        <w:ind w:firstLine="567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Бюджетный учет МКУ «ХЭУ» осуществляется с учетом следующих основных положений:</w:t>
      </w:r>
    </w:p>
    <w:p w:rsidR="006558D1" w:rsidRPr="006218A9" w:rsidRDefault="006218A9" w:rsidP="006218A9">
      <w:pPr>
        <w:spacing w:line="360" w:lineRule="auto"/>
        <w:ind w:firstLine="567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1) </w:t>
      </w:r>
      <w:r w:rsidR="006558D1">
        <w:rPr>
          <w:bCs/>
          <w:sz w:val="28"/>
          <w:szCs w:val="28"/>
        </w:rPr>
        <w:t>ответственность за организацию ведения бухгалтерского учета несет руководитель учреждения;</w:t>
      </w:r>
    </w:p>
    <w:p w:rsidR="006558D1" w:rsidRDefault="006218A9" w:rsidP="006218A9">
      <w:pPr>
        <w:spacing w:line="360" w:lineRule="auto"/>
        <w:ind w:firstLine="567"/>
        <w:jc w:val="both"/>
        <w:rPr>
          <w:sz w:val="28"/>
          <w:szCs w:val="28"/>
          <w:lang w:eastAsia="x-none"/>
        </w:rPr>
      </w:pPr>
      <w:r>
        <w:rPr>
          <w:bCs/>
          <w:sz w:val="28"/>
          <w:szCs w:val="28"/>
        </w:rPr>
        <w:t xml:space="preserve">2) </w:t>
      </w:r>
      <w:r w:rsidR="006558D1">
        <w:rPr>
          <w:bCs/>
          <w:sz w:val="28"/>
          <w:szCs w:val="28"/>
        </w:rPr>
        <w:t>бухгалтерский учет в организации ведется бухгалтерской службой, возглавляемой главным бухгалтером;</w:t>
      </w:r>
    </w:p>
    <w:p w:rsidR="006558D1" w:rsidRDefault="006218A9" w:rsidP="006218A9">
      <w:pPr>
        <w:spacing w:line="360" w:lineRule="auto"/>
        <w:ind w:firstLine="567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3) </w:t>
      </w:r>
      <w:r w:rsidR="006558D1">
        <w:rPr>
          <w:sz w:val="28"/>
          <w:szCs w:val="28"/>
          <w:lang w:eastAsia="x-none"/>
        </w:rPr>
        <w:t>при оформлении фактов хозяйственной жизни применяются унифицированные формы первичных учетных документов, в соответствии с приказ</w:t>
      </w:r>
      <w:r w:rsidR="006F700D">
        <w:rPr>
          <w:sz w:val="28"/>
          <w:szCs w:val="28"/>
          <w:lang w:eastAsia="x-none"/>
        </w:rPr>
        <w:t>ами:</w:t>
      </w:r>
      <w:r w:rsidR="006558D1">
        <w:rPr>
          <w:sz w:val="28"/>
          <w:szCs w:val="28"/>
          <w:lang w:eastAsia="x-none"/>
        </w:rPr>
        <w:t xml:space="preserve"> № 52н</w:t>
      </w:r>
      <w:r w:rsidR="006F700D">
        <w:rPr>
          <w:sz w:val="28"/>
          <w:szCs w:val="28"/>
          <w:lang w:eastAsia="x-none"/>
        </w:rPr>
        <w:t>, № 61н</w:t>
      </w:r>
      <w:r w:rsidR="006558D1">
        <w:rPr>
          <w:sz w:val="28"/>
          <w:szCs w:val="28"/>
          <w:lang w:eastAsia="x-none"/>
        </w:rPr>
        <w:t>;</w:t>
      </w:r>
    </w:p>
    <w:p w:rsidR="006558D1" w:rsidRDefault="006218A9" w:rsidP="006218A9">
      <w:pPr>
        <w:spacing w:line="360" w:lineRule="auto"/>
        <w:ind w:firstLine="567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4) </w:t>
      </w:r>
      <w:r w:rsidR="006558D1">
        <w:rPr>
          <w:sz w:val="28"/>
          <w:szCs w:val="28"/>
          <w:lang w:eastAsia="x-none"/>
        </w:rPr>
        <w:t xml:space="preserve">при оформлении фактов хозяйственной жизни, по которым не предусмотрены типовые формы первичных учетных документов применяются </w:t>
      </w:r>
      <w:r w:rsidR="006558D1">
        <w:rPr>
          <w:sz w:val="28"/>
          <w:szCs w:val="28"/>
          <w:lang w:eastAsia="x-none"/>
        </w:rPr>
        <w:lastRenderedPageBreak/>
        <w:t>формы, установленные нормативными правовыми актами и локальными актами учреждения, содержащие обязательные реквизиты, указанные в Законе № 402-</w:t>
      </w:r>
      <w:proofErr w:type="gramStart"/>
      <w:r w:rsidR="006558D1">
        <w:rPr>
          <w:sz w:val="28"/>
          <w:szCs w:val="28"/>
          <w:lang w:eastAsia="x-none"/>
        </w:rPr>
        <w:t>ФЗ,  СГС</w:t>
      </w:r>
      <w:proofErr w:type="gramEnd"/>
      <w:r w:rsidR="006558D1">
        <w:rPr>
          <w:sz w:val="28"/>
          <w:szCs w:val="28"/>
          <w:lang w:eastAsia="x-none"/>
        </w:rPr>
        <w:t xml:space="preserve"> «Концептуальные основы»;</w:t>
      </w:r>
    </w:p>
    <w:p w:rsidR="006558D1" w:rsidRDefault="006218A9" w:rsidP="006218A9">
      <w:pPr>
        <w:spacing w:line="360" w:lineRule="auto"/>
        <w:ind w:firstLine="567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5) </w:t>
      </w:r>
      <w:r w:rsidR="006558D1">
        <w:rPr>
          <w:sz w:val="28"/>
          <w:szCs w:val="28"/>
          <w:lang w:eastAsia="x-none"/>
        </w:rPr>
        <w:t xml:space="preserve">рабочий план счетов бюджетного учета разработан в соответствии с </w:t>
      </w:r>
      <w:r w:rsidR="006F700D">
        <w:rPr>
          <w:sz w:val="28"/>
          <w:szCs w:val="28"/>
          <w:lang w:eastAsia="x-none"/>
        </w:rPr>
        <w:t xml:space="preserve">приказами: </w:t>
      </w:r>
      <w:r w:rsidR="006558D1">
        <w:rPr>
          <w:sz w:val="28"/>
          <w:szCs w:val="28"/>
          <w:lang w:eastAsia="x-none"/>
        </w:rPr>
        <w:t xml:space="preserve">№ </w:t>
      </w:r>
      <w:r w:rsidR="006F700D">
        <w:rPr>
          <w:sz w:val="28"/>
          <w:szCs w:val="28"/>
          <w:lang w:eastAsia="x-none"/>
        </w:rPr>
        <w:t>121</w:t>
      </w:r>
      <w:r w:rsidR="006558D1">
        <w:rPr>
          <w:sz w:val="28"/>
          <w:szCs w:val="28"/>
          <w:lang w:eastAsia="x-none"/>
        </w:rPr>
        <w:t xml:space="preserve">н и </w:t>
      </w:r>
      <w:r w:rsidR="006F700D">
        <w:rPr>
          <w:sz w:val="28"/>
          <w:szCs w:val="28"/>
          <w:lang w:eastAsia="x-none"/>
        </w:rPr>
        <w:t>132</w:t>
      </w:r>
      <w:r w:rsidR="006558D1">
        <w:rPr>
          <w:sz w:val="28"/>
          <w:szCs w:val="28"/>
          <w:lang w:eastAsia="x-none"/>
        </w:rPr>
        <w:t>н;</w:t>
      </w:r>
    </w:p>
    <w:p w:rsidR="006558D1" w:rsidRDefault="006218A9" w:rsidP="006218A9">
      <w:pPr>
        <w:spacing w:line="360" w:lineRule="auto"/>
        <w:ind w:firstLine="567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6) </w:t>
      </w:r>
      <w:r w:rsidR="006558D1">
        <w:rPr>
          <w:sz w:val="28"/>
          <w:szCs w:val="28"/>
          <w:lang w:eastAsia="x-none"/>
        </w:rPr>
        <w:t xml:space="preserve">при оформлении фактов хозяйственной жизни </w:t>
      </w:r>
      <w:r w:rsidR="006558D1">
        <w:rPr>
          <w:sz w:val="28"/>
          <w:szCs w:val="28"/>
        </w:rPr>
        <w:t xml:space="preserve">используются дополнительно к единому Плану счетов </w:t>
      </w:r>
      <w:proofErr w:type="spellStart"/>
      <w:r w:rsidR="006558D1">
        <w:rPr>
          <w:sz w:val="28"/>
          <w:szCs w:val="28"/>
        </w:rPr>
        <w:t>забалансовые</w:t>
      </w:r>
      <w:proofErr w:type="spellEnd"/>
      <w:r w:rsidR="006558D1">
        <w:rPr>
          <w:sz w:val="28"/>
          <w:szCs w:val="28"/>
        </w:rPr>
        <w:t xml:space="preserve"> счета, согласно </w:t>
      </w:r>
      <w:r w:rsidR="006F700D">
        <w:rPr>
          <w:sz w:val="28"/>
          <w:szCs w:val="28"/>
        </w:rPr>
        <w:t>приказа «Об учетной политике»</w:t>
      </w:r>
      <w:r w:rsidR="006558D1">
        <w:rPr>
          <w:sz w:val="28"/>
          <w:szCs w:val="28"/>
        </w:rPr>
        <w:t>;</w:t>
      </w:r>
    </w:p>
    <w:p w:rsidR="006558D1" w:rsidRDefault="006218A9" w:rsidP="006218A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 xml:space="preserve">7) </w:t>
      </w:r>
      <w:r w:rsidR="006558D1">
        <w:rPr>
          <w:sz w:val="28"/>
          <w:szCs w:val="28"/>
        </w:rPr>
        <w:t>в целях организации и ведения бухгалтерского учета в учреждении применяются коды вида финансового обеспечения:</w:t>
      </w:r>
    </w:p>
    <w:p w:rsidR="006558D1" w:rsidRDefault="006558D1" w:rsidP="006218A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1 - деятельность, осуществляемая за счет средств соответствующего бюджета бюджетной системы Российской Федерации (бюджетная деятельность);</w:t>
      </w:r>
    </w:p>
    <w:p w:rsidR="006558D1" w:rsidRDefault="006558D1" w:rsidP="006218A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>3 - средства во временном распоряжении;</w:t>
      </w:r>
    </w:p>
    <w:p w:rsidR="006558D1" w:rsidRDefault="006218A9" w:rsidP="006218A9">
      <w:pPr>
        <w:spacing w:line="360" w:lineRule="auto"/>
        <w:ind w:firstLine="567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8) </w:t>
      </w:r>
      <w:r w:rsidR="006558D1">
        <w:rPr>
          <w:sz w:val="28"/>
          <w:szCs w:val="28"/>
          <w:lang w:eastAsia="x-none"/>
        </w:rPr>
        <w:t>бюджетный учет ведется в электронном виде с использованием программ автоматизации бухгалтерского учета</w:t>
      </w:r>
      <w:r>
        <w:rPr>
          <w:sz w:val="28"/>
          <w:szCs w:val="28"/>
          <w:lang w:eastAsia="x-none"/>
        </w:rPr>
        <w:t xml:space="preserve"> с использование простой электронной подписи и электронной цифровой подписи</w:t>
      </w:r>
      <w:r w:rsidR="006558D1">
        <w:rPr>
          <w:sz w:val="28"/>
          <w:szCs w:val="28"/>
          <w:lang w:eastAsia="x-none"/>
        </w:rPr>
        <w:t>;</w:t>
      </w:r>
    </w:p>
    <w:p w:rsidR="006558D1" w:rsidRDefault="006218A9" w:rsidP="006218A9">
      <w:pPr>
        <w:spacing w:line="360" w:lineRule="auto"/>
        <w:ind w:firstLine="567"/>
        <w:jc w:val="both"/>
        <w:rPr>
          <w:rFonts w:eastAsia="SimSun"/>
          <w:sz w:val="28"/>
          <w:szCs w:val="28"/>
          <w:lang w:eastAsia="zh-CN"/>
        </w:rPr>
      </w:pPr>
      <w:r>
        <w:rPr>
          <w:sz w:val="28"/>
          <w:szCs w:val="28"/>
          <w:lang w:eastAsia="x-none"/>
        </w:rPr>
        <w:t xml:space="preserve">9) </w:t>
      </w:r>
      <w:r w:rsidR="006558D1">
        <w:rPr>
          <w:sz w:val="28"/>
          <w:szCs w:val="28"/>
          <w:lang w:eastAsia="x-none"/>
        </w:rPr>
        <w:t>электронный документооборот ведется с</w:t>
      </w:r>
      <w:r w:rsidR="006558D1">
        <w:rPr>
          <w:rFonts w:eastAsia="SimSun"/>
          <w:sz w:val="28"/>
          <w:szCs w:val="28"/>
          <w:lang w:eastAsia="zh-CN"/>
        </w:rPr>
        <w:t xml:space="preserve"> использованием телекоммуникационных каналов связи и электронной</w:t>
      </w:r>
      <w:r>
        <w:rPr>
          <w:rFonts w:eastAsia="SimSun"/>
          <w:sz w:val="28"/>
          <w:szCs w:val="28"/>
          <w:lang w:eastAsia="zh-CN"/>
        </w:rPr>
        <w:t xml:space="preserve"> цифровой</w:t>
      </w:r>
      <w:r w:rsidR="006558D1">
        <w:rPr>
          <w:rFonts w:eastAsia="SimSun"/>
          <w:sz w:val="28"/>
          <w:szCs w:val="28"/>
          <w:lang w:eastAsia="zh-CN"/>
        </w:rPr>
        <w:t xml:space="preserve"> подписи, по следующим направлениям:</w:t>
      </w:r>
    </w:p>
    <w:p w:rsidR="006558D1" w:rsidRDefault="006218A9" w:rsidP="006218A9">
      <w:pPr>
        <w:pStyle w:val="3"/>
        <w:tabs>
          <w:tab w:val="left" w:pos="0"/>
        </w:tabs>
        <w:ind w:left="0" w:firstLine="567"/>
        <w:rPr>
          <w:rFonts w:eastAsia="SimSun"/>
          <w:szCs w:val="28"/>
          <w:lang w:val="ru-RU" w:eastAsia="zh-CN"/>
        </w:rPr>
      </w:pPr>
      <w:r>
        <w:rPr>
          <w:rFonts w:eastAsia="SimSun"/>
          <w:szCs w:val="28"/>
          <w:lang w:val="ru-RU" w:eastAsia="zh-CN"/>
        </w:rPr>
        <w:t xml:space="preserve">- </w:t>
      </w:r>
      <w:r w:rsidR="006558D1">
        <w:rPr>
          <w:rFonts w:eastAsia="SimSun"/>
          <w:szCs w:val="28"/>
          <w:lang w:val="ru-RU" w:eastAsia="zh-CN"/>
        </w:rPr>
        <w:t>система электронного документооборота с территориальным органом Федерального казначейства;</w:t>
      </w:r>
    </w:p>
    <w:p w:rsidR="006558D1" w:rsidRDefault="006218A9" w:rsidP="006218A9">
      <w:pPr>
        <w:pStyle w:val="3"/>
        <w:tabs>
          <w:tab w:val="left" w:pos="0"/>
        </w:tabs>
        <w:ind w:left="0" w:firstLine="567"/>
        <w:rPr>
          <w:rFonts w:eastAsia="SimSun"/>
          <w:szCs w:val="28"/>
          <w:lang w:val="ru-RU" w:eastAsia="zh-CN"/>
        </w:rPr>
      </w:pPr>
      <w:r>
        <w:rPr>
          <w:rFonts w:eastAsia="SimSun"/>
          <w:szCs w:val="28"/>
          <w:lang w:val="ru-RU" w:eastAsia="zh-CN"/>
        </w:rPr>
        <w:t xml:space="preserve">- </w:t>
      </w:r>
      <w:r w:rsidR="006558D1">
        <w:rPr>
          <w:rFonts w:eastAsia="SimSun"/>
          <w:szCs w:val="28"/>
          <w:lang w:val="ru-RU" w:eastAsia="zh-CN"/>
        </w:rPr>
        <w:t>передача бухгалтерской отчетности учредителю;</w:t>
      </w:r>
    </w:p>
    <w:p w:rsidR="006218A9" w:rsidRDefault="006218A9" w:rsidP="006218A9">
      <w:pPr>
        <w:pStyle w:val="3"/>
        <w:tabs>
          <w:tab w:val="left" w:pos="0"/>
        </w:tabs>
        <w:ind w:left="0" w:firstLine="567"/>
        <w:rPr>
          <w:rFonts w:eastAsia="SimSun"/>
          <w:szCs w:val="28"/>
          <w:lang w:val="ru-RU" w:eastAsia="zh-CN"/>
        </w:rPr>
      </w:pPr>
      <w:r>
        <w:rPr>
          <w:rFonts w:eastAsia="SimSun"/>
          <w:szCs w:val="28"/>
          <w:lang w:val="ru-RU" w:eastAsia="zh-CN"/>
        </w:rPr>
        <w:t xml:space="preserve">- </w:t>
      </w:r>
      <w:r w:rsidR="006558D1">
        <w:rPr>
          <w:rFonts w:eastAsia="SimSun"/>
          <w:szCs w:val="28"/>
          <w:lang w:val="ru-RU" w:eastAsia="zh-CN"/>
        </w:rPr>
        <w:t>передача отчетности по налогам, сборам и иным обязательным платежам в инспекцию налоговой службы;</w:t>
      </w:r>
    </w:p>
    <w:p w:rsidR="006558D1" w:rsidRDefault="006218A9" w:rsidP="006218A9">
      <w:pPr>
        <w:pStyle w:val="3"/>
        <w:tabs>
          <w:tab w:val="left" w:pos="0"/>
        </w:tabs>
        <w:ind w:left="0" w:firstLine="567"/>
        <w:rPr>
          <w:rFonts w:eastAsia="SimSun"/>
          <w:szCs w:val="28"/>
          <w:lang w:val="ru-RU" w:eastAsia="zh-CN"/>
        </w:rPr>
      </w:pPr>
      <w:r>
        <w:rPr>
          <w:rFonts w:eastAsia="SimSun"/>
          <w:szCs w:val="28"/>
          <w:lang w:val="ru-RU" w:eastAsia="zh-CN"/>
        </w:rPr>
        <w:t xml:space="preserve">- </w:t>
      </w:r>
      <w:r w:rsidR="006558D1">
        <w:rPr>
          <w:rFonts w:eastAsia="SimSun"/>
          <w:szCs w:val="28"/>
          <w:lang w:val="ru-RU" w:eastAsia="zh-CN"/>
        </w:rPr>
        <w:t>передача статистической отчетности в органы государственной статистики;</w:t>
      </w:r>
    </w:p>
    <w:p w:rsidR="006558D1" w:rsidRDefault="006218A9" w:rsidP="006218A9">
      <w:pPr>
        <w:pStyle w:val="3"/>
        <w:tabs>
          <w:tab w:val="left" w:pos="0"/>
        </w:tabs>
        <w:ind w:left="0" w:firstLine="567"/>
        <w:rPr>
          <w:rFonts w:eastAsia="SimSun"/>
          <w:szCs w:val="28"/>
          <w:lang w:val="ru-RU" w:eastAsia="zh-CN"/>
        </w:rPr>
      </w:pPr>
      <w:r>
        <w:rPr>
          <w:rFonts w:eastAsia="SimSun"/>
          <w:szCs w:val="28"/>
          <w:lang w:val="ru-RU" w:eastAsia="zh-CN"/>
        </w:rPr>
        <w:t xml:space="preserve">- </w:t>
      </w:r>
      <w:r w:rsidR="006558D1">
        <w:rPr>
          <w:rFonts w:eastAsia="SimSun"/>
          <w:szCs w:val="28"/>
          <w:lang w:val="ru-RU" w:eastAsia="zh-CN"/>
        </w:rPr>
        <w:t xml:space="preserve">передача отчетности в </w:t>
      </w:r>
      <w:r w:rsidR="006F700D">
        <w:rPr>
          <w:rFonts w:eastAsia="SimSun"/>
          <w:szCs w:val="28"/>
          <w:lang w:val="ru-RU" w:eastAsia="zh-CN"/>
        </w:rPr>
        <w:t>социальный фонд</w:t>
      </w:r>
      <w:r w:rsidR="006558D1">
        <w:rPr>
          <w:rFonts w:eastAsia="SimSun"/>
          <w:szCs w:val="28"/>
          <w:lang w:val="ru-RU" w:eastAsia="zh-CN"/>
        </w:rPr>
        <w:t xml:space="preserve"> России;</w:t>
      </w:r>
    </w:p>
    <w:p w:rsidR="006218A9" w:rsidRDefault="006218A9" w:rsidP="006218A9">
      <w:pPr>
        <w:pStyle w:val="3"/>
        <w:tabs>
          <w:tab w:val="left" w:pos="0"/>
        </w:tabs>
        <w:ind w:left="0" w:firstLine="567"/>
        <w:rPr>
          <w:szCs w:val="28"/>
          <w:lang w:val="ru-RU"/>
        </w:rPr>
      </w:pPr>
      <w:r>
        <w:rPr>
          <w:szCs w:val="28"/>
          <w:lang w:val="ru-RU"/>
        </w:rPr>
        <w:t xml:space="preserve">10) </w:t>
      </w:r>
      <w:r w:rsidR="006558D1">
        <w:rPr>
          <w:szCs w:val="28"/>
          <w:lang w:val="ru-RU"/>
        </w:rPr>
        <w:t xml:space="preserve">инвентаризация активов и обязательств осуществляется в соответствии с </w:t>
      </w:r>
      <w:r w:rsidR="006F700D">
        <w:rPr>
          <w:szCs w:val="28"/>
          <w:lang w:val="ru-RU"/>
        </w:rPr>
        <w:t>порядком о проведении инвентаризации</w:t>
      </w:r>
      <w:r w:rsidR="006558D1">
        <w:rPr>
          <w:szCs w:val="28"/>
          <w:lang w:val="ru-RU"/>
        </w:rPr>
        <w:t>;</w:t>
      </w:r>
      <w:r>
        <w:rPr>
          <w:szCs w:val="28"/>
          <w:lang w:val="ru-RU"/>
        </w:rPr>
        <w:t xml:space="preserve"> </w:t>
      </w:r>
    </w:p>
    <w:p w:rsidR="006558D1" w:rsidRDefault="006218A9" w:rsidP="006218A9">
      <w:pPr>
        <w:pStyle w:val="3"/>
        <w:tabs>
          <w:tab w:val="left" w:pos="0"/>
        </w:tabs>
        <w:ind w:left="0" w:firstLine="567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11) </w:t>
      </w:r>
      <w:r w:rsidR="006558D1">
        <w:rPr>
          <w:szCs w:val="28"/>
          <w:lang w:val="ru-RU"/>
        </w:rPr>
        <w:t xml:space="preserve">при проведении инвентаризации, перед составлением годовой отчётности признаются результаты инвентаризации, проведенной не ранее 1 </w:t>
      </w:r>
      <w:r w:rsidR="006F700D">
        <w:rPr>
          <w:szCs w:val="28"/>
          <w:lang w:val="ru-RU"/>
        </w:rPr>
        <w:t>октября</w:t>
      </w:r>
      <w:r w:rsidR="006558D1">
        <w:rPr>
          <w:szCs w:val="28"/>
          <w:lang w:val="ru-RU"/>
        </w:rPr>
        <w:t xml:space="preserve"> текущего года, в связи со сменой материально-ответственных лиц и других случаев;</w:t>
      </w:r>
    </w:p>
    <w:p w:rsidR="006558D1" w:rsidRDefault="006218A9" w:rsidP="006218A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="006558D1">
        <w:rPr>
          <w:sz w:val="28"/>
          <w:szCs w:val="28"/>
        </w:rPr>
        <w:t>в табеле учета использования рабочего времени, затраты рабочего времени учитывать методом сплошной регистрации явок на работу;</w:t>
      </w:r>
    </w:p>
    <w:p w:rsidR="006558D1" w:rsidRDefault="006218A9" w:rsidP="006218A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="006558D1">
        <w:rPr>
          <w:sz w:val="28"/>
          <w:szCs w:val="28"/>
        </w:rPr>
        <w:t>начисление амортизации объекта основных средств производится линейным методом;</w:t>
      </w:r>
    </w:p>
    <w:p w:rsidR="006558D1" w:rsidRDefault="006218A9" w:rsidP="006218A9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="006558D1">
        <w:rPr>
          <w:sz w:val="28"/>
          <w:szCs w:val="28"/>
        </w:rPr>
        <w:t xml:space="preserve">объекты основных средств, полученные учреждением, путем необменных операций признавать в бухгалтерском учете в оценке, определенной передающей стороной – по стоимости, отраженной в передаточных документах. В случае отсутствия первичных документов основные средства принимаются к учету по справедливой стоимости, установленной методом рыночных цен на дату принятия к учету. </w:t>
      </w:r>
    </w:p>
    <w:p w:rsidR="006558D1" w:rsidRDefault="006218A9" w:rsidP="006218A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r w:rsidR="006558D1">
        <w:rPr>
          <w:sz w:val="28"/>
          <w:szCs w:val="28"/>
        </w:rPr>
        <w:t>списание материальных запасов производится по фактической стоимости каждой единицы;</w:t>
      </w:r>
    </w:p>
    <w:p w:rsidR="006558D1" w:rsidRDefault="006218A9" w:rsidP="006218A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r w:rsidR="006558D1">
        <w:rPr>
          <w:sz w:val="28"/>
          <w:szCs w:val="28"/>
        </w:rPr>
        <w:t>событие после отчетной даты отражаются в бюджетном учете и раскрываются в бюджетной отчетности в соответствии с положениями приказа от 30.12.2017 г. № 275н СГС «События после отчетной даты»;</w:t>
      </w:r>
    </w:p>
    <w:p w:rsidR="006558D1" w:rsidRDefault="006218A9" w:rsidP="006218A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</w:t>
      </w:r>
      <w:r w:rsidR="006558D1">
        <w:rPr>
          <w:sz w:val="28"/>
          <w:szCs w:val="28"/>
        </w:rPr>
        <w:t xml:space="preserve">выдача денежных средств под отчет на командировочные расходы осуществляется </w:t>
      </w:r>
      <w:r w:rsidR="006F700D">
        <w:rPr>
          <w:sz w:val="28"/>
          <w:szCs w:val="28"/>
        </w:rPr>
        <w:t>по решению о командировании</w:t>
      </w:r>
      <w:r w:rsidR="006558D1">
        <w:rPr>
          <w:sz w:val="28"/>
          <w:szCs w:val="28"/>
        </w:rPr>
        <w:t xml:space="preserve"> с использованием расчетных (дебетовых) карт в рамках «зарплатного» проекта;</w:t>
      </w:r>
    </w:p>
    <w:p w:rsidR="006218A9" w:rsidRPr="00D7602B" w:rsidRDefault="006218A9" w:rsidP="006218A9">
      <w:pPr>
        <w:pStyle w:val="Oaeno"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18) д</w:t>
      </w:r>
      <w:r w:rsidRPr="00D7602B">
        <w:rPr>
          <w:rFonts w:ascii="Times New Roman" w:hAnsi="Times New Roman"/>
          <w:sz w:val="27"/>
          <w:szCs w:val="27"/>
        </w:rPr>
        <w:t>ля целей равномерного учета предстоящих расходов формировать следующие виды резервов предстоящих расходов:</w:t>
      </w:r>
    </w:p>
    <w:p w:rsidR="006218A9" w:rsidRPr="00D7602B" w:rsidRDefault="006218A9" w:rsidP="006218A9">
      <w:pPr>
        <w:spacing w:line="360" w:lineRule="auto"/>
        <w:ind w:firstLine="567"/>
        <w:jc w:val="both"/>
        <w:rPr>
          <w:sz w:val="27"/>
          <w:szCs w:val="27"/>
        </w:rPr>
      </w:pPr>
      <w:r w:rsidRPr="00D7602B">
        <w:rPr>
          <w:sz w:val="27"/>
          <w:szCs w:val="27"/>
        </w:rPr>
        <w:t xml:space="preserve">- резерв для оплаты отпусков за фактически отработанное время и компенсаций </w:t>
      </w:r>
      <w:r>
        <w:rPr>
          <w:sz w:val="27"/>
          <w:szCs w:val="27"/>
        </w:rPr>
        <w:t xml:space="preserve">за </w:t>
      </w:r>
      <w:r w:rsidRPr="00D7602B">
        <w:rPr>
          <w:sz w:val="27"/>
          <w:szCs w:val="27"/>
        </w:rPr>
        <w:t>неиспользованный отпуск, включая платежи на обязательное страхование;</w:t>
      </w:r>
    </w:p>
    <w:p w:rsidR="006218A9" w:rsidRPr="00D7602B" w:rsidRDefault="006218A9" w:rsidP="006218A9">
      <w:pPr>
        <w:spacing w:line="360" w:lineRule="auto"/>
        <w:ind w:firstLine="567"/>
        <w:jc w:val="both"/>
        <w:rPr>
          <w:sz w:val="27"/>
          <w:szCs w:val="27"/>
        </w:rPr>
      </w:pPr>
      <w:r w:rsidRPr="00D7602B">
        <w:rPr>
          <w:sz w:val="27"/>
          <w:szCs w:val="27"/>
        </w:rPr>
        <w:t xml:space="preserve">- </w:t>
      </w:r>
      <w:bookmarkStart w:id="1" w:name="_Hlk123225249"/>
      <w:r w:rsidRPr="00E6682C">
        <w:rPr>
          <w:sz w:val="27"/>
          <w:szCs w:val="27"/>
        </w:rPr>
        <w:t>резерв под обязательства, по которым отсутствуют первичные документы</w:t>
      </w:r>
      <w:r w:rsidRPr="00D7602B">
        <w:rPr>
          <w:sz w:val="27"/>
          <w:szCs w:val="27"/>
        </w:rPr>
        <w:t>;</w:t>
      </w:r>
    </w:p>
    <w:bookmarkEnd w:id="1"/>
    <w:p w:rsidR="006218A9" w:rsidRPr="00D7602B" w:rsidRDefault="006218A9" w:rsidP="006218A9">
      <w:pPr>
        <w:spacing w:line="360" w:lineRule="auto"/>
        <w:ind w:firstLine="567"/>
        <w:jc w:val="both"/>
        <w:rPr>
          <w:sz w:val="27"/>
          <w:szCs w:val="27"/>
        </w:rPr>
      </w:pPr>
      <w:r w:rsidRPr="00D7602B">
        <w:rPr>
          <w:sz w:val="27"/>
          <w:szCs w:val="27"/>
        </w:rPr>
        <w:t>- резерв для оплаты возникающих претензий и исков;</w:t>
      </w:r>
    </w:p>
    <w:p w:rsidR="006218A9" w:rsidRDefault="006218A9" w:rsidP="006218A9">
      <w:pPr>
        <w:spacing w:line="360" w:lineRule="auto"/>
        <w:ind w:firstLine="567"/>
        <w:jc w:val="both"/>
        <w:rPr>
          <w:sz w:val="27"/>
          <w:szCs w:val="27"/>
        </w:rPr>
      </w:pPr>
      <w:r w:rsidRPr="00D7602B">
        <w:rPr>
          <w:sz w:val="27"/>
          <w:szCs w:val="27"/>
        </w:rPr>
        <w:t>- резерв по сомнительным долгам</w:t>
      </w:r>
      <w:r>
        <w:rPr>
          <w:sz w:val="27"/>
          <w:szCs w:val="27"/>
        </w:rPr>
        <w:t>;</w:t>
      </w:r>
    </w:p>
    <w:p w:rsidR="006218A9" w:rsidRDefault="006218A9" w:rsidP="006218A9">
      <w:pPr>
        <w:spacing w:line="360" w:lineRule="auto"/>
        <w:ind w:firstLine="567"/>
        <w:jc w:val="both"/>
        <w:rPr>
          <w:i/>
          <w:iCs/>
          <w:sz w:val="27"/>
          <w:szCs w:val="27"/>
        </w:rPr>
      </w:pPr>
      <w:r w:rsidRPr="00724187">
        <w:rPr>
          <w:sz w:val="27"/>
          <w:szCs w:val="27"/>
        </w:rPr>
        <w:lastRenderedPageBreak/>
        <w:t xml:space="preserve">- </w:t>
      </w:r>
      <w:r w:rsidRPr="00724187">
        <w:rPr>
          <w:sz w:val="27"/>
          <w:szCs w:val="27"/>
          <w:shd w:val="clear" w:color="auto" w:fill="FFFFFF"/>
        </w:rPr>
        <w:t xml:space="preserve">резерв </w:t>
      </w:r>
      <w:r w:rsidRPr="00724187">
        <w:rPr>
          <w:sz w:val="27"/>
          <w:szCs w:val="27"/>
        </w:rPr>
        <w:t>под приемку товаров, работ, услуг</w:t>
      </w:r>
      <w:r>
        <w:rPr>
          <w:i/>
          <w:iCs/>
          <w:sz w:val="27"/>
          <w:szCs w:val="27"/>
        </w:rPr>
        <w:t>.</w:t>
      </w:r>
    </w:p>
    <w:p w:rsidR="006218A9" w:rsidRPr="0009493E" w:rsidRDefault="006218A9" w:rsidP="006218A9">
      <w:pPr>
        <w:spacing w:line="360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 резерв предстоящих расходов по арендной плате за пользование имуществом.</w:t>
      </w:r>
    </w:p>
    <w:p w:rsidR="006558D1" w:rsidRDefault="006218A9" w:rsidP="006218A9">
      <w:pPr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19) </w:t>
      </w:r>
      <w:r w:rsidR="006558D1">
        <w:rPr>
          <w:sz w:val="28"/>
          <w:szCs w:val="28"/>
        </w:rPr>
        <w:t>р</w:t>
      </w:r>
      <w:r w:rsidR="006558D1">
        <w:rPr>
          <w:iCs/>
          <w:sz w:val="28"/>
          <w:szCs w:val="28"/>
        </w:rPr>
        <w:t xml:space="preserve">асходы по договорам страхования ОСАГО (КАСКО), а </w:t>
      </w:r>
      <w:proofErr w:type="gramStart"/>
      <w:r w:rsidR="006558D1">
        <w:rPr>
          <w:iCs/>
          <w:sz w:val="28"/>
          <w:szCs w:val="28"/>
        </w:rPr>
        <w:t>так же</w:t>
      </w:r>
      <w:proofErr w:type="gramEnd"/>
      <w:r w:rsidR="006558D1">
        <w:rPr>
          <w:iCs/>
          <w:sz w:val="28"/>
          <w:szCs w:val="28"/>
        </w:rPr>
        <w:t xml:space="preserve"> </w:t>
      </w:r>
      <w:r w:rsidR="006558D1">
        <w:rPr>
          <w:sz w:val="28"/>
          <w:szCs w:val="28"/>
        </w:rPr>
        <w:t xml:space="preserve">расходы будущих периодов в сумме приобретенных неисключительных прав на программные продукты </w:t>
      </w:r>
      <w:r w:rsidR="006558D1">
        <w:rPr>
          <w:iCs/>
          <w:sz w:val="28"/>
          <w:szCs w:val="28"/>
        </w:rPr>
        <w:t xml:space="preserve">учитывать на счете 1 401 50 000 </w:t>
      </w:r>
      <w:r w:rsidR="006558D1">
        <w:rPr>
          <w:sz w:val="28"/>
          <w:szCs w:val="28"/>
        </w:rPr>
        <w:t>«</w:t>
      </w:r>
      <w:r w:rsidR="006558D1">
        <w:rPr>
          <w:iCs/>
          <w:sz w:val="28"/>
          <w:szCs w:val="28"/>
        </w:rPr>
        <w:t>Расходы будущих периодов</w:t>
      </w:r>
      <w:r w:rsidR="006558D1">
        <w:rPr>
          <w:sz w:val="28"/>
          <w:szCs w:val="28"/>
        </w:rPr>
        <w:t>»</w:t>
      </w:r>
      <w:r w:rsidR="006558D1">
        <w:rPr>
          <w:iCs/>
          <w:sz w:val="28"/>
          <w:szCs w:val="28"/>
        </w:rPr>
        <w:t xml:space="preserve"> и списывать равномерно в течении всего срока действия страхового полиса (лицензии), срока использования программного продукта;</w:t>
      </w:r>
    </w:p>
    <w:p w:rsidR="006558D1" w:rsidRDefault="006218A9" w:rsidP="006218A9">
      <w:pPr>
        <w:spacing w:line="360" w:lineRule="auto"/>
        <w:ind w:firstLine="567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20) </w:t>
      </w:r>
      <w:r w:rsidR="006558D1">
        <w:rPr>
          <w:sz w:val="28"/>
          <w:szCs w:val="28"/>
          <w:lang w:eastAsia="x-none"/>
        </w:rPr>
        <w:t xml:space="preserve">основные положения учетной политики МКУ «ХЭУ» применяются одновременно с иными документами учетной политики, оформленными приказами Учреждения, а </w:t>
      </w:r>
      <w:proofErr w:type="gramStart"/>
      <w:r w:rsidR="006558D1">
        <w:rPr>
          <w:sz w:val="28"/>
          <w:szCs w:val="28"/>
          <w:lang w:eastAsia="x-none"/>
        </w:rPr>
        <w:t>так же</w:t>
      </w:r>
      <w:proofErr w:type="gramEnd"/>
      <w:r w:rsidR="006558D1">
        <w:rPr>
          <w:sz w:val="28"/>
          <w:szCs w:val="28"/>
          <w:lang w:eastAsia="x-none"/>
        </w:rPr>
        <w:t xml:space="preserve"> положениями законодательства Российской Федерации о бухгалтерском учете.</w:t>
      </w:r>
    </w:p>
    <w:p w:rsidR="00D86C1B" w:rsidRDefault="00D86C1B" w:rsidP="006218A9">
      <w:pPr>
        <w:ind w:firstLine="567"/>
      </w:pPr>
    </w:p>
    <w:sectPr w:rsidR="00D86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60"/>
    <w:rsid w:val="002B1385"/>
    <w:rsid w:val="003C3337"/>
    <w:rsid w:val="006218A9"/>
    <w:rsid w:val="006558D1"/>
    <w:rsid w:val="006F700D"/>
    <w:rsid w:val="008E292C"/>
    <w:rsid w:val="00A02FA3"/>
    <w:rsid w:val="00D86C1B"/>
    <w:rsid w:val="00DC2803"/>
    <w:rsid w:val="00E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42FE8"/>
  <w15:docId w15:val="{BDF8D118-25EE-4285-ACAB-2B79CC9E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558D1"/>
    <w:pPr>
      <w:keepNext/>
      <w:widowControl w:val="0"/>
      <w:jc w:val="both"/>
      <w:outlineLvl w:val="1"/>
    </w:pPr>
    <w:rPr>
      <w:bCs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6558D1"/>
    <w:rPr>
      <w:rFonts w:ascii="Times New Roman" w:eastAsia="Times New Roman" w:hAnsi="Times New Roman" w:cs="Times New Roman"/>
      <w:bCs/>
      <w:sz w:val="28"/>
      <w:szCs w:val="20"/>
      <w:lang w:val="x-none" w:eastAsia="x-none"/>
    </w:rPr>
  </w:style>
  <w:style w:type="paragraph" w:styleId="3">
    <w:name w:val="Body Text 3"/>
    <w:basedOn w:val="a"/>
    <w:link w:val="30"/>
    <w:semiHidden/>
    <w:unhideWhenUsed/>
    <w:rsid w:val="006558D1"/>
    <w:pPr>
      <w:spacing w:line="360" w:lineRule="auto"/>
      <w:ind w:left="360"/>
      <w:jc w:val="both"/>
    </w:pPr>
    <w:rPr>
      <w:sz w:val="28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6558D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3">
    <w:name w:val="Emphasis"/>
    <w:basedOn w:val="a0"/>
    <w:uiPriority w:val="20"/>
    <w:qFormat/>
    <w:rsid w:val="003C3337"/>
    <w:rPr>
      <w:i/>
      <w:iCs/>
    </w:rPr>
  </w:style>
  <w:style w:type="paragraph" w:customStyle="1" w:styleId="Oaeno">
    <w:name w:val="Oaeno"/>
    <w:basedOn w:val="a"/>
    <w:rsid w:val="006218A9"/>
    <w:pPr>
      <w:widowControl w:val="0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Запара Валентина Сергеевна</cp:lastModifiedBy>
  <cp:revision>4</cp:revision>
  <dcterms:created xsi:type="dcterms:W3CDTF">2026-07-14T06:59:00Z</dcterms:created>
  <dcterms:modified xsi:type="dcterms:W3CDTF">2026-07-14T07:24:00Z</dcterms:modified>
</cp:coreProperties>
</file>