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Депкультуры Югры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jc w:val="right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Окружного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на лучший костюм Вороны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Окружного фольклорного праздника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4"/>
        <w:jc w:val="center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коренных малочисленных народов Севера «Вороний день»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4"/>
        <w:numPr>
          <w:ilvl w:val="0"/>
          <w:numId w:val="1"/>
        </w:numPr>
        <w:jc w:val="center"/>
        <w:spacing w:before="24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условия проведения Окружного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на лучший костюм Вороны</w:t>
        <w:br/>
        <w:t xml:space="preserve">(далее – Конкурс),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реализуемого 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соответствии с Указом Президента Российской Федерации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25.12.2025 г. № 962 «О проведении</w:t>
        <w:br/>
        <w:t xml:space="preserve">в Российской Федерации Года единства народов России»,</w:t>
      </w:r>
      <w:r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7 мая 2024 г. № 309</w:t>
        <w:br/>
        <w:t xml:space="preserve">«О национальных целях развития Российской Федерации на период до 2030 года и на перспективу до 2036 года», Указом Президента Российской Федерации от 25 ноября 2025 года № 858  </w:t>
      </w:r>
      <w:r>
        <w:rPr>
          <w:rFonts w:ascii="Times New Roman" w:hAnsi="Times New Roman" w:cs="Times New Roman"/>
          <w:sz w:val="28"/>
          <w:szCs w:val="28"/>
        </w:rPr>
        <w:t xml:space="preserve">«О Стратегии государственной национальной политики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2036 года», государственного задания автономному учреждению Ханты-Мансийского автономного округа – Югры «Окружной Дом народного творчества»</w:t>
        <w:br/>
        <w:t xml:space="preserve">на 2026 год и плановый период 2027 и 2028 годов за счёт средств бюджета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округа – Югры.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рамках Года молодой семьи, объявленного Губернатором Ханты-Мансийского автономного округа ‒ Югры,</w:t>
        <w:br/>
        <w:t xml:space="preserve">и направлен на реализацию мероприятий Федерального проекта «Семейные ценности  </w:t>
      </w:r>
      <w:r>
        <w:rPr>
          <w:rFonts w:ascii="Times New Roman" w:hAnsi="Times New Roman" w:cs="Times New Roman"/>
          <w:sz w:val="28"/>
          <w:szCs w:val="28"/>
        </w:rPr>
        <w:t xml:space="preserve">и инфраструктура культуры» национального проекта «Семья» и входит </w:t>
      </w:r>
      <w:r>
        <w:rPr>
          <w:rFonts w:ascii="Times New Roman" w:hAnsi="Times New Roman" w:cs="Times New Roman"/>
          <w:sz w:val="28"/>
          <w:szCs w:val="28"/>
        </w:rPr>
        <w:t xml:space="preserve">в программу основных мероприятий Окружного фольклорного праздника коренных малочисленных народов Севера «Вороний день», утверждённого Постановлением Правительства</w:t>
        <w:br/>
        <w:t xml:space="preserve">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округа – Югры от 31 марта 2012 года</w:t>
        <w:br/>
        <w:t xml:space="preserve">№ 129-п «О проведении Дня коренных малочисленных народов Севера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округа – Югры «Вороний день».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Учредители и организаторы Конкурса: Департамент культуры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автономного округа – Югры, автономное учреждение Ханты-Мансийского автономного округа – Югры «Окружной Дом народного творчества», региональное отделение Общероссийской общественно-государственной организации «Ассамблея народов России»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автономного округа – Югры.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left="0" w:firstLine="0"/>
        <w:jc w:val="center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4"/>
        <w:numPr>
          <w:ilvl w:val="0"/>
          <w:numId w:val="2"/>
        </w:numPr>
        <w:jc w:val="center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 задачи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и популяризации традиционной культуры коренных малочисленных народов Севера.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поддержка талантливых югорчан;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интереса к самобытной культуре и вовлечение</w:t>
        <w:br/>
        <w:t xml:space="preserve">в сферу народного искусства коренных малочисленных народов Севера;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преемственности традиций коренных малочисленных народов Севера, реализация творческого потенциала жителей Югры.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0"/>
          <w:numId w:val="2"/>
        </w:numPr>
        <w:jc w:val="center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и этапы проведения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с 2 февраля по 4 апреля 2026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spacing w:after="0" w:afterAutospacing="0"/>
        <w:tabs>
          <w:tab w:val="left" w:pos="42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Этапы проведения Конкурса: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43"/>
        <w:tblW w:w="0" w:type="auto"/>
        <w:jc w:val="center"/>
        <w:tblLook w:val="04A0" w:firstRow="1" w:lastRow="0" w:firstColumn="1" w:lastColumn="0" w:noHBand="0" w:noVBand="1"/>
      </w:tblPr>
      <w:tblGrid>
        <w:gridCol w:w="5080"/>
        <w:gridCol w:w="4097"/>
      </w:tblGrid>
      <w:tr>
        <w:tblPrEx/>
        <w:trPr>
          <w:jc w:val="center"/>
        </w:trPr>
        <w:tc>
          <w:tcPr>
            <w:tcW w:w="5080" w:type="dxa"/>
            <w:textDirection w:val="lrTb"/>
            <w:noWrap w:val="false"/>
          </w:tcPr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Этапы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097" w:type="dxa"/>
            <w:textDirection w:val="lrTb"/>
            <w:noWrap w:val="false"/>
          </w:tcPr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реализации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080" w:type="dxa"/>
            <w:textDirection w:val="lrTb"/>
            <w:noWrap w:val="false"/>
          </w:tcPr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Приём заявок и работ на участие в Конкурсе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097" w:type="dxa"/>
            <w:vAlign w:val="center"/>
            <w:textDirection w:val="lrTb"/>
            <w:noWrap w:val="false"/>
          </w:tcPr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февраля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 марта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080" w:type="dxa"/>
            <w:textDirection w:val="lrTb"/>
            <w:noWrap w:val="false"/>
          </w:tcPr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работ конкурсной комиссией, подведение итогов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097" w:type="dxa"/>
            <w:vAlign w:val="center"/>
            <w:textDirection w:val="lrTb"/>
            <w:noWrap w:val="false"/>
          </w:tcPr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20 марта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080" w:type="dxa"/>
            <w:textDirection w:val="lrTb"/>
            <w:noWrap w:val="false"/>
          </w:tcPr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Дефиле лауреатов конкурса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Ханты-Мансийск)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097" w:type="dxa"/>
            <w:vAlign w:val="center"/>
            <w:textDirection w:val="lrTb"/>
            <w:noWrap w:val="false"/>
          </w:tcPr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апреля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080" w:type="dxa"/>
            <w:textDirection w:val="lrTb"/>
            <w:noWrap w:val="false"/>
          </w:tcPr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итогов на официальных сайтах организаторов и партнёров Конкурса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097" w:type="dxa"/>
            <w:vAlign w:val="center"/>
            <w:textDirection w:val="lrTb"/>
            <w:noWrap w:val="false"/>
          </w:tcPr>
          <w:p>
            <w:pPr>
              <w:pStyle w:val="844"/>
              <w:jc w:val="both"/>
              <w:spacing w:before="6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4 апреля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pStyle w:val="844"/>
        <w:numPr>
          <w:ilvl w:val="0"/>
          <w:numId w:val="2"/>
        </w:numPr>
        <w:jc w:val="center"/>
        <w:spacing w:before="24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Возрастные категории участников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43"/>
        <w:tblW w:w="0" w:type="auto"/>
        <w:tblInd w:w="217" w:type="dxa"/>
        <w:tblLook w:val="04A0" w:firstRow="1" w:lastRow="0" w:firstColumn="1" w:lastColumn="0" w:noHBand="0" w:noVBand="1"/>
      </w:tblPr>
      <w:tblGrid>
        <w:gridCol w:w="4567"/>
        <w:gridCol w:w="4680"/>
      </w:tblGrid>
      <w:tr>
        <w:tblPrEx/>
        <w:trPr/>
        <w:tc>
          <w:tcPr>
            <w:tcW w:w="4567" w:type="dxa"/>
            <w:vMerge w:val="restart"/>
            <w:textDirection w:val="lrTb"/>
            <w:noWrap w:val="false"/>
          </w:tcPr>
          <w:p>
            <w:pPr>
              <w:pStyle w:val="844"/>
              <w:jc w:val="center"/>
              <w:spacing w:before="6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костюма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4"/>
              <w:jc w:val="center"/>
              <w:spacing w:before="6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(индивидуальная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4"/>
              <w:jc w:val="center"/>
              <w:spacing w:before="6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4"/>
              <w:jc w:val="center"/>
              <w:spacing w:before="60" w:after="0" w:afterAutospacing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4680" w:type="dxa"/>
            <w:textDirection w:val="lrTb"/>
            <w:noWrap w:val="false"/>
          </w:tcPr>
          <w:p>
            <w:pPr>
              <w:pStyle w:val="844"/>
              <w:jc w:val="center"/>
              <w:spacing w:before="60" w:after="0" w:afterAutospacing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категории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4567" w:type="dxa"/>
            <w:vMerge w:val="continue"/>
            <w:textDirection w:val="lrTb"/>
            <w:noWrap w:val="false"/>
          </w:tcPr>
          <w:p>
            <w:pPr>
              <w:pStyle w:val="844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80" w:type="dxa"/>
            <w:textDirection w:val="lrTb"/>
            <w:noWrap w:val="false"/>
          </w:tcPr>
          <w:p>
            <w:pPr>
              <w:pStyle w:val="844"/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67" w:type="dxa"/>
            <w:vMerge w:val="continue"/>
            <w:textDirection w:val="lrTb"/>
            <w:noWrap w:val="false"/>
          </w:tcPr>
          <w:p>
            <w:pPr>
              <w:pStyle w:val="844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80" w:type="dxa"/>
            <w:textDirection w:val="lrTb"/>
            <w:noWrap w:val="false"/>
          </w:tcPr>
          <w:p>
            <w:pPr>
              <w:pStyle w:val="844"/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лет и старше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37"/>
        </w:trPr>
        <w:tc>
          <w:tcPr>
            <w:tcW w:w="4567" w:type="dxa"/>
            <w:vMerge w:val="continue"/>
            <w:textDirection w:val="lrTb"/>
            <w:noWrap w:val="false"/>
          </w:tcPr>
          <w:p>
            <w:pPr>
              <w:pStyle w:val="844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80" w:type="dxa"/>
            <w:textDirection w:val="lrTb"/>
            <w:noWrap w:val="false"/>
          </w:tcPr>
          <w:p>
            <w:pPr>
              <w:pStyle w:val="844"/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44"/>
        <w:numPr>
          <w:ilvl w:val="0"/>
          <w:numId w:val="2"/>
        </w:numPr>
        <w:jc w:val="center"/>
        <w:spacing w:before="24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Жюри Конкурса оценивает конкурсные работы по следующим критериям: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ворческий подход;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Законченный эстетический вид;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Применение орнаментов, элементов одежды традиционной культуры обских угров;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Представление работы (видеоролик), презентация.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44"/>
        <w:ind w:left="0" w:right="0" w:firstLine="0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8"/>
        <w:numPr>
          <w:ilvl w:val="0"/>
          <w:numId w:val="2"/>
        </w:numPr>
        <w:jc w:val="center"/>
        <w:spacing w:before="0" w:after="0" w:afterAutospacing="0" w:line="240" w:lineRule="auto"/>
        <w:rPr>
          <w:b/>
          <w:sz w:val="28"/>
          <w:szCs w:val="28"/>
        </w:rPr>
      </w:pPr>
      <w:r>
        <w:rPr>
          <w:rFonts w:eastAsia="MS Mincho"/>
          <w:b/>
          <w:bCs/>
          <w:sz w:val="28"/>
          <w:szCs w:val="28"/>
          <w:lang w:eastAsia="ja-JP"/>
        </w:rPr>
        <w:t xml:space="preserve">Условия участия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любительские </w:t>
      </w:r>
      <w:bookmarkStart w:id="1" w:name="_Hlk63949357"/>
      <w:r>
        <w:rPr>
          <w:rFonts w:ascii="Times New Roman" w:hAnsi="Times New Roman" w:cs="Times New Roman"/>
          <w:sz w:val="28"/>
          <w:szCs w:val="28"/>
        </w:rPr>
        <w:t xml:space="preserve">творческие коллективы, отдельные авторы, студии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учреждений культуры, учебных заведений общего, дополнительного, профессионального образования; профессиональные творческие коллективы, отдельные авторы, специалисты студий, имеющие профильное образование.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принимаются творческие индивидуальные</w:t>
        <w:br/>
        <w:t xml:space="preserve">и коллективные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заполнить заявку</w:t>
        <w:br/>
        <w:t xml:space="preserve">на платформе «Яндекс». Заявка доступна по ссылке: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left="0" w:right="0" w:firstLine="709"/>
        <w:jc w:val="both"/>
        <w:spacing w:after="0" w:afterAutospacing="0"/>
        <w:rPr>
          <w:rStyle w:val="840"/>
          <w:rFonts w:ascii="Times New Roman" w:hAnsi="Times New Roman"/>
          <w:sz w:val="28"/>
          <w:szCs w:val="28"/>
        </w:rPr>
      </w:pPr>
      <w:r/>
      <w:hyperlink r:id="rId10" w:tooltip="https://forms.yandex.ru/u/696496936d2d738abdad8f0e" w:history="1">
        <w:r>
          <w:rPr>
            <w:rStyle w:val="839"/>
            <w:rFonts w:ascii="Times New Roman" w:hAnsi="Times New Roman"/>
            <w:sz w:val="28"/>
            <w:szCs w:val="28"/>
          </w:rPr>
          <w:t xml:space="preserve">https://forms.yandex.ru/u/696496936d2d738abdad8f0e</w:t>
        </w:r>
      </w:hyperlink>
      <w:r>
        <w:rPr>
          <w:rStyle w:val="840"/>
          <w:rFonts w:ascii="Times New Roman" w:hAnsi="Times New Roman"/>
          <w:sz w:val="28"/>
          <w:szCs w:val="28"/>
        </w:rPr>
      </w:r>
      <w:r>
        <w:rPr>
          <w:rStyle w:val="840"/>
          <w:rFonts w:ascii="Times New Roman" w:hAnsi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прикрепляют к заявке: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 с демонстрацией костюма;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Презентацию (в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PowerPoint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 этапами изготовления костюма, </w:t>
      </w:r>
      <w:r>
        <w:rPr>
          <w:rFonts w:ascii="Times New Roman" w:hAnsi="Times New Roman" w:cs="Times New Roman"/>
          <w:sz w:val="28"/>
          <w:szCs w:val="28"/>
        </w:rPr>
        <w:br/>
        <w:t xml:space="preserve">с указанием автора(ов) и мастера(ов), принимающих участие</w:t>
        <w:br/>
        <w:t xml:space="preserve">в изготовлении костюма;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техник и технологий изготовления;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видов используемых материалов;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2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значений используемых орнаментов.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показы могут осуществляться авторами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приглашёнными участниками (моделями).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означает согласие участников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дальнейшую публикацию их работ с ука</w:t>
      </w:r>
      <w:r>
        <w:rPr>
          <w:rFonts w:ascii="Times New Roman" w:hAnsi="Times New Roman" w:cs="Times New Roman"/>
          <w:sz w:val="28"/>
          <w:szCs w:val="28"/>
        </w:rPr>
        <w:t xml:space="preserve">занием авторства, без оплаты гонорара в печатных, и электронных изданиях, на информационных носителях, которые могут быть выпущены организаторами по итогам проекта или в целях его презентации, при этом за авторами сохраняются исключительные авторские права</w:t>
      </w:r>
      <w:r>
        <w:rPr>
          <w:rFonts w:ascii="Times New Roman" w:hAnsi="Times New Roman" w:cs="Times New Roman"/>
          <w:sz w:val="28"/>
          <w:szCs w:val="28"/>
        </w:rPr>
        <w:t xml:space="preserve"> на опубликованные произведения (Приложение 1;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заявляемые к участию в Конкурсе, не должны противоречить законодательству Российской Федерации (в частности,</w:t>
        <w:br/>
        <w:t xml:space="preserve">ст. 5 Федерального закона от 29 декабря 2010 года № 436-ФЗ и ст. 4 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 июня 2002 года № 114-ФЗ).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Съёмка конкурсной работы может быть осуществлена</w:t>
        <w:br/>
        <w:t xml:space="preserve">как в условиях природного ландшафта, так и на концертной сцене</w:t>
        <w:br/>
        <w:t xml:space="preserve">или в специально оснащённом помещении.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любительский формат видеосъемки</w:t>
        <w:br/>
        <w:t xml:space="preserve">при соблюдении всех условий настоящего положения фестиваля. Рекомендуемый размер изображения не менее 1280Ч720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HD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которые не отвечают требованиям настоящего положения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br/>
        <w:t xml:space="preserve">в том числе поступившие после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, оцениваться не будут.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направляются в срок </w:t>
      </w:r>
      <w:r>
        <w:rPr>
          <w:rFonts w:ascii="Times New Roman" w:hAnsi="Times New Roman" w:cs="Times New Roman"/>
          <w:sz w:val="28"/>
          <w:szCs w:val="28"/>
        </w:rPr>
        <w:br/>
        <w:t xml:space="preserve">до 15 марта 2026 года включительно.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новостей в оперативном режиме, предлагаем Вам подписаться на аккаунты Окружного Дома народного творчества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социальных сетях: </w:t>
      </w:r>
      <w:hyperlink r:id="rId11" w:tooltip="http://www.vk.com/odntugra86" w:history="1">
        <w:r>
          <w:rPr>
            <w:rFonts w:ascii="Times New Roman" w:hAnsi="Times New Roman" w:cs="Times New Roman"/>
            <w:sz w:val="28"/>
            <w:szCs w:val="28"/>
            <w:u w:val="single"/>
          </w:rPr>
          <w:t xml:space="preserve">www.vk.com/odntugra86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,  </w:t>
      </w:r>
      <w:hyperlink r:id="rId12" w:tooltip="http://www.ok.ru/odntugra86" w:history="1">
        <w:r>
          <w:rPr>
            <w:rFonts w:ascii="Times New Roman" w:hAnsi="Times New Roman" w:cs="Times New Roman"/>
            <w:sz w:val="28"/>
            <w:szCs w:val="28"/>
            <w:u w:val="single"/>
          </w:rPr>
          <w:t xml:space="preserve">www.</w:t>
        </w:r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 xml:space="preserve">o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 xml:space="preserve">k.</w:t>
        </w:r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 xml:space="preserve">ru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 xml:space="preserve">/odntugra86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</w:p>
    <w:p>
      <w:pPr>
        <w:pStyle w:val="846"/>
        <w:numPr>
          <w:ilvl w:val="0"/>
          <w:numId w:val="2"/>
        </w:numPr>
        <w:jc w:val="center"/>
        <w:spacing w:before="120" w:after="120" w:line="240" w:lineRule="auto"/>
        <w:tabs>
          <w:tab w:val="left" w:pos="42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sz w:val="28"/>
          <w:szCs w:val="28"/>
        </w:rPr>
        <w:t xml:space="preserve">Состав жюри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12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Для оценки конкурсантов формируется жюри Конкурса, в состав которого могут войти </w:t>
      </w:r>
      <w:r>
        <w:rPr>
          <w:rFonts w:ascii="Times New Roman" w:hAnsi="Times New Roman" w:cs="Times New Roman"/>
          <w:sz w:val="28"/>
          <w:szCs w:val="28"/>
        </w:rPr>
        <w:t xml:space="preserve">ведущие специалисты в области народного творчества, деятели искусства и культуры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округа – Югры,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представители региональных общественных организаций, средств массовой информации.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120" w:line="240" w:lineRule="auto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Члены жюри оценивают выступления участников по 10-бальной системе. Лучшие из них выявляются по общей сумме баллов. Решение жюри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не обсуждается и пересмотру не подлежит.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120" w:line="240" w:lineRule="auto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Итогом обсуждения конкурсных работ является Протокол заседания,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br/>
        <w:t xml:space="preserve">на основании которого производится награждение победителей.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numPr>
          <w:ilvl w:val="1"/>
          <w:numId w:val="2"/>
        </w:numPr>
        <w:ind w:left="0" w:right="0" w:firstLine="709"/>
        <w:jc w:val="both"/>
        <w:spacing w:after="120" w:line="240" w:lineRule="auto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В спорных ситуациях решающее слово остаётся</w:t>
        <w:br/>
        <w:t xml:space="preserve">за председателем жюри.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ind w:left="0" w:right="0" w:firstLine="0"/>
        <w:jc w:val="both"/>
        <w:spacing w:after="120" w:line="240" w:lineRule="auto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highlight w:val="none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highlight w:val="none"/>
          <w:lang w:eastAsia="ja-JP"/>
        </w:rPr>
      </w:r>
    </w:p>
    <w:p>
      <w:pPr>
        <w:pStyle w:val="844"/>
        <w:numPr>
          <w:ilvl w:val="0"/>
          <w:numId w:val="2"/>
        </w:numPr>
        <w:jc w:val="center"/>
        <w:spacing w:before="120" w:after="0" w:afterAutospacing="0"/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  <w:t xml:space="preserve">Итоги</w:t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По итогам решения жюри участникам могут быть присвоены следующие звания: обладатели Гран-При, лауреаты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степени, дипломанты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степени.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Члены жюри могут учреждать дополнительные номинации.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Лауреаты Конкурса приглашаются на участие в Окружном празднике коренных малочисленных народов Севера «Вороний день»</w:t>
        <w:br/>
        <w:t xml:space="preserve">в городе Ханты-Мансийске с возможностью демонстрации конкурсных работ,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о чем уведомляются в официальном письме, направленном</w:t>
        <w:br/>
        <w:t xml:space="preserve">на электронный адрес участника.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Все участники Конкурса награждаются памятными дипломами, направленными на электронную почту до 31 мая 2026 года.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Лауреаты Конкурса, принявшие участие в Окружном празднике коренных малочисленных народов Севера «Вороний день», награждаются памятными дипломами и призами. 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Решение о награждении участников вносится в протокол заседания жюри Конкурса и подписывается председателем и секретарём.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Итоги Конкурса размещаются на официальном сайте</w:t>
        <w:br/>
        <w:t xml:space="preserve">и в официальной группе ВКонтакте автономного учреждения</w:t>
        <w:br/>
        <w:t xml:space="preserve">Ханты-Мансийского автономного округа – Югры «Окружной Дом народного творчества».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ind w:left="0" w:right="0" w:firstLine="0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highlight w:val="none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highlight w:val="none"/>
          <w:lang w:eastAsia="ja-JP"/>
        </w:rPr>
      </w:r>
    </w:p>
    <w:p>
      <w:pPr>
        <w:pStyle w:val="844"/>
        <w:numPr>
          <w:ilvl w:val="0"/>
          <w:numId w:val="2"/>
        </w:numPr>
        <w:jc w:val="center"/>
        <w:spacing w:after="0" w:afterAutospacing="0"/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  <w:t xml:space="preserve">Финансирование</w:t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На участие в Окружном празднике коренных малочисленных народов Севера «Вороний день» в городе Ханты-Мансийске приглашаются лауреаты - авторы костюмов или модели для демонстрации конкурсных работ.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Оплата проживания, питания в течение двух дней осуществляется за счёт приглашающей стороны. Транспортные расходы</w:t>
        <w:br/>
        <w:t xml:space="preserve">до места проведения проекта и обратно – за счёт направляющей стороны.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В случае, если приглашённый на Окружной праздник коренных малочисленных народов Севера является несовершеннолетним, оплата проживания и питания предоставляется, в том числе, одному сопровождающему лицу.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numPr>
          <w:ilvl w:val="1"/>
          <w:numId w:val="2"/>
        </w:numPr>
        <w:ind w:left="0" w:right="0" w:firstLine="709"/>
        <w:jc w:val="both"/>
        <w:spacing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Организаторы оставляют за собой право регламентировать количество приглашённых участников от одного муниципального образования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в соответствии с заявленной квотой Конкурса.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844"/>
        <w:numPr>
          <w:ilvl w:val="0"/>
          <w:numId w:val="2"/>
        </w:numPr>
        <w:jc w:val="center"/>
        <w:spacing w:before="240" w:after="120"/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  <w:t xml:space="preserve">Контакты</w:t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Автономное учреждение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округа – Югры «Окружной Дом народного творчества» адрес:</w:t>
        <w:br/>
        <w:t xml:space="preserve">ул. Гагарина, </w:t>
      </w:r>
      <w:r>
        <w:rPr>
          <w:rFonts w:ascii="Times New Roman" w:hAnsi="Times New Roman" w:cs="Times New Roman"/>
          <w:sz w:val="28"/>
          <w:szCs w:val="28"/>
        </w:rPr>
        <w:t xml:space="preserve">д.10, г. Ханты-Мансийск, Ханты-Мансийский автономный округ – Югра (Тюменская область), 628011.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Отдел национальных культур: Нестерова Светлана Николаевна, Чердынцева Инесса Владимировна, Василькова Таисия Павловна, </w:t>
      </w:r>
      <w:r>
        <w:rPr>
          <w:rFonts w:ascii="Times New Roman" w:hAnsi="Times New Roman" w:cs="Times New Roman"/>
          <w:sz w:val="28"/>
          <w:szCs w:val="28"/>
        </w:rPr>
        <w:br/>
        <w:t xml:space="preserve">тел: 8 (3467) 32-15-62, e-mail: onk@odntugra.ru.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1276" w:bottom="1134" w:left="1559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991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Приложение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12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СОГЛАСИЕ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 на обработку персональных данных для участия </w:t>
      </w:r>
      <w:r>
        <w:rPr>
          <w:rFonts w:ascii="Times New Roman" w:hAnsi="Times New Roman" w:eastAsia="Calibri" w:cs="Times New Roman"/>
          <w:sz w:val="20"/>
          <w:szCs w:val="20"/>
        </w:rPr>
        <w:t xml:space="preserve">в Окружном конкурсе</w:t>
      </w:r>
      <w:r>
        <w:rPr>
          <w:rFonts w:ascii="Times New Roman" w:hAnsi="Times New Roman" w:eastAsia="Calibri" w:cs="Times New Roman"/>
          <w:sz w:val="20"/>
          <w:szCs w:val="20"/>
        </w:rPr>
        <w:t xml:space="preserve"> на лучший костюм Вороны 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в рамках Окружного фоль</w:t>
      </w:r>
      <w:r>
        <w:rPr>
          <w:rFonts w:ascii="Times New Roman" w:hAnsi="Times New Roman" w:eastAsia="Calibri" w:cs="Times New Roman"/>
          <w:sz w:val="20"/>
          <w:szCs w:val="20"/>
        </w:rPr>
        <w:t xml:space="preserve">клорного праздника </w:t>
      </w:r>
      <w:r>
        <w:rPr>
          <w:rFonts w:ascii="Times New Roman" w:hAnsi="Times New Roman" w:eastAsia="Calibri" w:cs="Times New Roman"/>
          <w:sz w:val="20"/>
          <w:szCs w:val="20"/>
        </w:rPr>
        <w:t xml:space="preserve">коренных малочисленных народов Севера «Вороний день»</w:t>
      </w:r>
      <w:r>
        <w:rPr>
          <w:rFonts w:ascii="Times New Roman" w:hAnsi="Times New Roman" w:eastAsia="Calibri" w:cs="Times New Roman"/>
          <w:sz w:val="20"/>
          <w:szCs w:val="20"/>
        </w:rPr>
        <w:br/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Я,_____________________________________________________________________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(Ф.И.О. полностью, год рождения)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</w:p>
    <w:p>
      <w:pPr>
        <w:contextualSpacing/>
        <w:spacing w:after="12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соответствии </w:t>
      </w:r>
      <w:hyperlink r:id="rId13" w:tooltip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w:history="1">
        <w:r>
          <w:rPr>
            <w:rFonts w:ascii="Times New Roman" w:hAnsi="Times New Roman" w:eastAsia="Times New Roman" w:cs="Times New Roman"/>
            <w:sz w:val="20"/>
            <w:szCs w:val="20"/>
          </w:rPr>
          <w:t xml:space="preserve">со ст. 9</w:t>
        </w:r>
      </w:hyperlink>
      <w:r>
        <w:rPr>
          <w:rFonts w:ascii="Times New Roman" w:hAnsi="Times New Roman" w:eastAsia="Times New Roman" w:cs="Times New Roman"/>
          <w:sz w:val="20"/>
          <w:szCs w:val="20"/>
        </w:rPr>
        <w:t xml:space="preserve"> Федерального закона от 27.07.2006 г. № 152-ФЗ «О персональных данных», зарегистрирован по адресу: 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jc w:val="center"/>
        <w:spacing w:after="12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</w:p>
    <w:p>
      <w:pPr>
        <w:jc w:val="both"/>
        <w:spacing w:after="12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целях моего участия в Конкурсе, даю согласие автономному учреждению Ханты-Мансийского автономного округа – Югры «Окружной Дом народного творчества», находящемуся по адресу: 628011, г. Ханты-Мансийск, ул. Гагарина, д. 10,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на осуществление любых действий в отношении моих персональных данных,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ицам -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Перечень моих персональных данных, на обработку которых я даю согласие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(нужное выбрать): 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фамилия, имя, отчество;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паспортные данные (для размещения в гостинице)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возраст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место проживания (район, населённый пункт);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место учебы, работы, должность;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контактные данные (телефон, электронная почта); 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результат участия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 положением о Конкурсе ознакомлен(а), порядок проведения и правила Конкурса мне понятны.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jc w:val="both"/>
        <w:spacing w:after="120" w:line="240" w:lineRule="auto"/>
        <w:tabs>
          <w:tab w:val="left" w:pos="8931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 согласен(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а), что вышеотмеченные персональные сведения обо мне могут быть переданы, по требованию, в государственные органы, в соответствии с действующим законодательством Российской Федерации, могут быть указаны в дипломах об участии в Конкурсе, могут быть размещен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ы в печатных, электронных изданиях, в средствах массовой информации, на официальном сайте и социальных сетях автономного учреждения Ханты-Мансийского автономного округа – Югры «Окружной Дом народного творчества»</w:t>
        <w:br/>
        <w:t xml:space="preserve">в списках участников и победителей Конкурса.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jc w:val="both"/>
        <w:spacing w:after="120" w:line="240" w:lineRule="auto"/>
        <w:tabs>
          <w:tab w:val="left" w:pos="8931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Настоящее согласие вступает в силу с момента его подписания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и может быть отозвано в любой момент</w:t>
        <w:br/>
        <w:t xml:space="preserve">по моему письменному заявлению.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jc w:val="both"/>
        <w:spacing w:after="120" w:line="240" w:lineRule="auto"/>
        <w:tabs>
          <w:tab w:val="left" w:pos="8931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«_____»______________ 20____ г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 и Ф.И.О.  прописью полностью)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*Заполняется каждым совершеннолетним участником (в том числе каждым участником коллектива),</w:t>
        <w:br/>
        <w:t xml:space="preserve">а также лицам, чьи данные указаны в заявке.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</w:p>
    <w:p>
      <w:pPr>
        <w:pStyle w:val="844"/>
        <w:jc w:val="both"/>
        <w:spacing w:after="120"/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*При размещении организаторами конкурсных работ в печатных, электронных изданиях, в средствах массовой информации, официальном сайте и социальных сетях АУ «Окружной Дом народного творчества» будут указаны только ФИО 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участника или название коллектива, ФИО руководителя, название направляющей организации и результат. Другие сведения (место работы, учебы, контактные телефоны, адреса и др.) необходимы для внутреннего использования и в открытом доступе размещаться не будут.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Приложение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СОГЛАСИЕ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родителя (законного представит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еля) несовершеннолетнего участника Окружного конкурса на лучший костюм Вороны в рамках Окружного фольклорного праздника коренных малочисленных народов Севера «Вороний день» на обработку его персональных данных и персональных данных его ребенка (опекаемого)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Я,___________________________________________________________________________________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(Ф.И.О. полностью, год рождения)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соответствии со ст. 9 Фед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ерального закона от 27.07.2006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№ 152-ФЗ  «О персон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альных данных», зарегистрирован по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адресу: 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_,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(ФИО ребенка (подопечного) полностью, год рождения)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целях участия моего ребёнка (опекаемого) в Конкурсе, даю согласие автон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омному учреждению Ханты-Мансийского автономного округа – Югры «Окружной Дом народного творчества», находящемуся по адресу: 628011, г. Ханты-Мансийск, ул. Гагарина, д. 10, на осуществление любых действий в отношении моих персональных данных и персональных д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анных моего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ицам -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Перечень моих персональных данных и персональных данных моего ребенка, на обработку которых я даю согласие (нужное выбрать):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фамилия, имя, отчество;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паспортные данные (для размещения в гостинице)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возраст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место проживания (район, населённый пункт);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место учебы, работы, должность;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контактные данные (телефон, электронная почта); 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результат участия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 положением о Конкурсе ознакомлен(а), порядок проведения и правила Конкурса мне понятны.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 согласен(а), что следующие сведения о моем ребенке (опекаемом): «фамилия, имя, отчество, место проживания (регистрации) (индекс, город, район, улица, номер дома, номер квартиры), кантатные данные (телефон, электронная почта),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паспортные данные (серия, номер, кем и когда выдан) либо могут быть переданы, по требованию, в государственные органы, отвечающие за сбор, начисление и уплату налогов</w:t>
        <w:br/>
        <w:t xml:space="preserve">в бюджет, в соответствии с действующим налоговым законодательством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 согласен(а), что следующие сведения о моем ребенке (опекаемом): «фамилия, имя, отчество, возрастная категория, название образовательной (культурно-досуговой) организации, результат участия» могут быть указаны в дипломах об участии в Конкурсе.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 согласен(а), что следующие сведения о моем ребенке (опекае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мом): «фамилия, имя, отчество, возрастная категория, название образовательной (культурно-досуговой) организации, результат участия, фото-видеоматериалы могут быть размещены в печатных, электронных изданиях, в средствах массовой информации, на официальном 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айте Департамента культуры Ханты-Мансийского автономного</w:t>
        <w:br/>
        <w:t xml:space="preserve">округа – Югры, официальном сайте и социальных сетях автономного учреждения Ханты-Мансийского автономного округа – Югры «Окружной Дом народного творчества» в списках участников и победителей Конкурса.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Настоящее согласие вступает в силу с момента его подписания и может быть отозвано в любой момент</w:t>
        <w:br/>
        <w:t xml:space="preserve">по моему письменному заявлению. 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«_____»_____________ 20____ г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 и Ф.И.О. прописью полностью)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* Заполняется родителем/законным представителем на себя и на несовершеннолетнего участника фестиваля (в том числе на каждого несовершеннолетнего участника коллектива).</w:t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* При размещении организаторами конкурсных работ в печатных, электронных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изданиях, в средствах массовой информации, на официальном сайте Департамента культуры Ханты-Мансийского автономного округа – Югры, официальном сайте и социальных сетях АУ «Окружной Дом народного творчества» будут указаны только ФИО участника или название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коллектива, ФИО руководителя, название направляющей организации и результат. Другие сведения (место работы, учебы, контактные телефоны, адреса, категория заболевания и др.) необходимы для внутреннего использования</w:t>
        <w:br/>
        <w:t xml:space="preserve">и в открытом доступе размещаться не будут.</w:t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right="283"/>
        <w:jc w:val="center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991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B0609070205080204"/>
  </w:font>
  <w:font w:name="Calibri">
    <w:panose1 w:val="020F0502020204030204"/>
  </w:font>
  <w:font w:name="Segoe UI">
    <w:panose1 w:val="020B0502040204020203"/>
  </w:font>
  <w:font w:name="Arial Unicode MS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6"/>
    <w:link w:val="83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2">
    <w:name w:val="Heading 2"/>
    <w:basedOn w:val="834"/>
    <w:next w:val="834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3">
    <w:name w:val="Heading 2 Char"/>
    <w:basedOn w:val="836"/>
    <w:link w:val="662"/>
    <w:uiPriority w:val="9"/>
    <w:rPr>
      <w:rFonts w:ascii="Liberation Sans" w:hAnsi="Liberation Sans" w:eastAsia="Liberation Sans" w:cs="Liberation Sans"/>
      <w:sz w:val="34"/>
    </w:rPr>
  </w:style>
  <w:style w:type="paragraph" w:styleId="664">
    <w:name w:val="Heading 3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5">
    <w:name w:val="Heading 3 Char"/>
    <w:basedOn w:val="836"/>
    <w:link w:val="66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6">
    <w:name w:val="Heading 4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7">
    <w:name w:val="Heading 4 Char"/>
    <w:basedOn w:val="836"/>
    <w:link w:val="66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8">
    <w:name w:val="Heading 5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9">
    <w:name w:val="Heading 5 Char"/>
    <w:basedOn w:val="836"/>
    <w:link w:val="66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0">
    <w:name w:val="Heading 6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1">
    <w:name w:val="Heading 6 Char"/>
    <w:basedOn w:val="836"/>
    <w:link w:val="67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2">
    <w:name w:val="Heading 7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3">
    <w:name w:val="Heading 7 Char"/>
    <w:basedOn w:val="836"/>
    <w:link w:val="67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4">
    <w:name w:val="Heading 8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>
    <w:name w:val="Heading 8 Char"/>
    <w:basedOn w:val="836"/>
    <w:link w:val="67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6">
    <w:name w:val="Heading 9"/>
    <w:basedOn w:val="834"/>
    <w:next w:val="834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>
    <w:name w:val="Heading 9 Char"/>
    <w:basedOn w:val="836"/>
    <w:link w:val="67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35">
    <w:name w:val="Heading 1"/>
    <w:basedOn w:val="834"/>
    <w:next w:val="834"/>
    <w:link w:val="845"/>
    <w:qFormat/>
    <w:pPr>
      <w:keepNext/>
      <w:spacing w:after="0" w:line="360" w:lineRule="auto"/>
      <w:outlineLvl w:val="0"/>
    </w:pPr>
    <w:rPr>
      <w:rFonts w:ascii="Times New Roman" w:hAnsi="Times New Roman" w:eastAsia="Arial Unicode MS" w:cs="Times New Roman"/>
      <w:bCs/>
      <w:iCs/>
      <w:sz w:val="28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FollowedHyperlink"/>
    <w:basedOn w:val="836"/>
    <w:uiPriority w:val="99"/>
    <w:semiHidden/>
    <w:unhideWhenUsed/>
    <w:qFormat/>
    <w:rPr>
      <w:color w:val="800080"/>
      <w:u w:val="single"/>
    </w:rPr>
  </w:style>
  <w:style w:type="character" w:styleId="840">
    <w:name w:val="Hyperlink"/>
    <w:basedOn w:val="836"/>
    <w:uiPriority w:val="99"/>
    <w:qFormat/>
    <w:rPr>
      <w:color w:val="0000ff"/>
      <w:u w:val="single"/>
    </w:rPr>
  </w:style>
  <w:style w:type="paragraph" w:styleId="841">
    <w:name w:val="Balloon Text"/>
    <w:basedOn w:val="834"/>
    <w:link w:val="84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42">
    <w:name w:val="Body Text 3"/>
    <w:basedOn w:val="834"/>
    <w:link w:val="847"/>
    <w:qFormat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table" w:styleId="843">
    <w:name w:val="Table Grid"/>
    <w:basedOn w:val="837"/>
    <w:uiPriority w:val="5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44">
    <w:name w:val="No Spacing"/>
    <w:uiPriority w:val="1"/>
    <w:qFormat/>
    <w:rPr>
      <w:sz w:val="22"/>
      <w:szCs w:val="22"/>
    </w:rPr>
  </w:style>
  <w:style w:type="character" w:styleId="845" w:customStyle="1">
    <w:name w:val="Заголовок 1 Знак"/>
    <w:basedOn w:val="836"/>
    <w:link w:val="835"/>
    <w:qFormat/>
    <w:rPr>
      <w:rFonts w:ascii="Times New Roman" w:hAnsi="Times New Roman" w:eastAsia="Arial Unicode MS" w:cs="Times New Roman"/>
      <w:bCs/>
      <w:iCs/>
      <w:sz w:val="28"/>
    </w:rPr>
  </w:style>
  <w:style w:type="paragraph" w:styleId="846" w:customStyle="1">
    <w:name w:val="Абзац списка1"/>
    <w:basedOn w:val="834"/>
    <w:qFormat/>
    <w:pPr>
      <w:ind w:left="720"/>
    </w:pPr>
    <w:rPr>
      <w:rFonts w:ascii="Calibri" w:hAnsi="Calibri" w:eastAsia="Times New Roman" w:cs="Calibri"/>
    </w:rPr>
  </w:style>
  <w:style w:type="character" w:styleId="847" w:customStyle="1">
    <w:name w:val="Основной текст 3 Знак"/>
    <w:basedOn w:val="836"/>
    <w:link w:val="842"/>
    <w:qFormat/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848">
    <w:name w:val="List Paragraph"/>
    <w:basedOn w:val="834"/>
    <w:uiPriority w:val="34"/>
    <w:qFormat/>
    <w:pPr>
      <w:contextualSpacing/>
      <w:ind w:left="720"/>
      <w:spacing w:before="240" w:after="0" w:line="240" w:lineRule="exact"/>
    </w:pPr>
    <w:rPr>
      <w:rFonts w:ascii="Times New Roman" w:hAnsi="Times New Roman" w:eastAsia="Calibri" w:cs="Times New Roman"/>
      <w:lang w:eastAsia="en-US"/>
    </w:rPr>
  </w:style>
  <w:style w:type="character" w:styleId="849" w:customStyle="1">
    <w:name w:val="Текст выноски Знак"/>
    <w:basedOn w:val="836"/>
    <w:link w:val="841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forms.yandex.ru/u/696496936d2d738abdad8f0e" TargetMode="External"/><Relationship Id="rId11" Type="http://schemas.openxmlformats.org/officeDocument/2006/relationships/hyperlink" Target="http://www.vk.com/odntugra86" TargetMode="External"/><Relationship Id="rId12" Type="http://schemas.openxmlformats.org/officeDocument/2006/relationships/hyperlink" Target="http://www.ok.ru/odntugra86" TargetMode="External"/><Relationship Id="rId13" Type="http://schemas.openxmlformats.org/officeDocument/2006/relationships/hyperlink" Target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A0AE-E0F5-4626-A61F-C9A3F58C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Чердынцева Инесса</dc:creator>
  <cp:lastModifiedBy>NosyrevaEA</cp:lastModifiedBy>
  <cp:revision>467</cp:revision>
  <dcterms:created xsi:type="dcterms:W3CDTF">2019-02-19T10:13:00Z</dcterms:created>
  <dcterms:modified xsi:type="dcterms:W3CDTF">2026-02-19T04:43:43Z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69D9BB4799C04CD48F8FCD26CD2FE952_12</vt:lpwstr>
  </property>
</Properties>
</file>