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 w:val="0"/>
          <w:bCs/>
          <w:szCs w:val="28"/>
        </w:rPr>
      </w:pPr>
      <w:r>
        <w:rPr>
          <w:b w:val="0"/>
          <w:bCs/>
          <w:szCs w:val="28"/>
        </w:rPr>
      </w:r>
      <w:r>
        <w:rPr>
          <w:b w:val="0"/>
          <w:bCs/>
          <w:szCs w:val="28"/>
        </w:rPr>
      </w:r>
      <w:r>
        <w:rPr>
          <w:b w:val="0"/>
          <w:bCs/>
          <w:szCs w:val="28"/>
        </w:rPr>
      </w:r>
    </w:p>
    <w:p>
      <w:pPr>
        <w:jc w:val="center"/>
        <w:spacing w:after="0"/>
        <w:rPr>
          <w:sz w:val="56"/>
          <w:szCs w:val="56"/>
        </w:rPr>
      </w:pPr>
      <w:r>
        <w:rPr>
          <w:bCs/>
          <w:sz w:val="56"/>
          <w:szCs w:val="56"/>
        </w:rPr>
        <w:t xml:space="preserve">Государственная кадастровая оценка объектов недвижимости</w:t>
      </w:r>
      <w:r>
        <w:rPr>
          <w:bCs/>
          <w:sz w:val="56"/>
          <w:szCs w:val="56"/>
        </w:rPr>
        <w:t xml:space="preserve"> </w:t>
      </w:r>
      <w:r>
        <w:rPr>
          <w:sz w:val="56"/>
          <w:szCs w:val="56"/>
        </w:rPr>
      </w:r>
      <w:r>
        <w:rPr>
          <w:sz w:val="56"/>
          <w:szCs w:val="56"/>
        </w:rPr>
      </w:r>
    </w:p>
    <w:p>
      <w:pPr>
        <w:jc w:val="center"/>
        <w:spacing w:after="0"/>
        <w:rPr>
          <w:sz w:val="56"/>
          <w:szCs w:val="56"/>
        </w:rPr>
      </w:pPr>
      <w:r>
        <w:rPr>
          <w:bCs/>
          <w:sz w:val="56"/>
          <w:szCs w:val="56"/>
        </w:rPr>
        <w:t xml:space="preserve">в 202</w:t>
      </w:r>
      <w:r>
        <w:rPr>
          <w:bCs/>
          <w:sz w:val="56"/>
          <w:szCs w:val="56"/>
        </w:rPr>
        <w:t xml:space="preserve">6</w:t>
      </w:r>
      <w:r>
        <w:rPr>
          <w:bCs/>
          <w:sz w:val="56"/>
          <w:szCs w:val="56"/>
        </w:rPr>
        <w:t xml:space="preserve"> году: </w:t>
      </w:r>
      <w:r>
        <w:rPr>
          <w:sz w:val="56"/>
          <w:szCs w:val="56"/>
        </w:rPr>
      </w:r>
      <w:r>
        <w:rPr>
          <w:sz w:val="56"/>
          <w:szCs w:val="56"/>
        </w:rPr>
      </w:r>
    </w:p>
    <w:p>
      <w:pPr>
        <w:jc w:val="center"/>
        <w:spacing w:after="0"/>
        <w:rPr>
          <w:bCs/>
          <w:sz w:val="56"/>
          <w:szCs w:val="56"/>
        </w:rPr>
      </w:pPr>
      <w:r>
        <w:rPr>
          <w:bCs/>
          <w:sz w:val="56"/>
          <w:szCs w:val="56"/>
        </w:rPr>
      </w:r>
      <w:r>
        <w:rPr>
          <w:bCs/>
          <w:sz w:val="56"/>
          <w:szCs w:val="56"/>
        </w:rPr>
      </w:r>
      <w:r>
        <w:rPr>
          <w:bCs/>
          <w:sz w:val="56"/>
          <w:szCs w:val="56"/>
        </w:rPr>
      </w:r>
    </w:p>
    <w:p>
      <w:pPr>
        <w:jc w:val="center"/>
        <w:spacing w:after="0"/>
        <w:rPr>
          <w:sz w:val="56"/>
          <w:szCs w:val="56"/>
        </w:rPr>
      </w:pPr>
      <w:r>
        <w:rPr>
          <w:bCs/>
          <w:sz w:val="56"/>
          <w:szCs w:val="56"/>
        </w:rPr>
        <w:t xml:space="preserve">как ознакомиться </w:t>
        <w:br/>
        <w:t xml:space="preserve">с предварительными результатами кадастровой оценки объектов недвижимости</w:t>
      </w:r>
      <w:r>
        <w:rPr>
          <w:bCs/>
          <w:sz w:val="56"/>
          <w:szCs w:val="56"/>
        </w:rPr>
        <w:t xml:space="preserve"> и подать замечания </w:t>
        <w:br/>
        <w:t xml:space="preserve">к </w:t>
      </w:r>
      <w:r>
        <w:rPr>
          <w:bCs/>
          <w:sz w:val="56"/>
          <w:szCs w:val="56"/>
        </w:rPr>
        <w:t xml:space="preserve">проекту отчета</w:t>
      </w:r>
      <w:r>
        <w:rPr>
          <w:sz w:val="56"/>
          <w:szCs w:val="56"/>
        </w:rPr>
      </w:r>
      <w:r>
        <w:rPr>
          <w:sz w:val="56"/>
          <w:szCs w:val="56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70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Распоряжением Департамента по управлению государственным имуществом Ханты-Мансийского автономного округа – Югры </w:t>
      </w:r>
      <w:r>
        <w:rPr>
          <w:sz w:val="28"/>
          <w:szCs w:val="28"/>
        </w:rPr>
        <w:t xml:space="preserve">(далее – Депимущества Югры)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№ 13-Р-6</w:t>
      </w:r>
      <w:r>
        <w:rPr>
          <w:sz w:val="28"/>
          <w:szCs w:val="28"/>
        </w:rPr>
        <w:t xml:space="preserve"> «О проведении государственной кадастровой оценки»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бюджетным учреждение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Ханты-Мансийского автономного округа – Югры «Центр имущественных отношений» (далее – БУ «Центр имущественных отношений») </w:t>
      </w:r>
      <w:r>
        <w:rPr>
          <w:sz w:val="28"/>
          <w:szCs w:val="28"/>
        </w:rPr>
        <w:t xml:space="preserve">в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проведена государственная кадастровая оценка в отношении </w:t>
      </w:r>
      <w:r>
        <w:rPr>
          <w:sz w:val="28"/>
          <w:szCs w:val="28"/>
        </w:rPr>
        <w:t xml:space="preserve">всех </w:t>
      </w:r>
      <w:r>
        <w:rPr>
          <w:sz w:val="28"/>
          <w:szCs w:val="28"/>
        </w:rPr>
        <w:t xml:space="preserve">учтенных </w:t>
        <w:br/>
        <w:t xml:space="preserve">в Едином государственном реестре недвижимости </w:t>
      </w:r>
      <w:r>
        <w:rPr>
          <w:b w:val="0"/>
          <w:sz w:val="28"/>
          <w:szCs w:val="28"/>
        </w:rPr>
        <w:t xml:space="preserve">земельных участков </w:t>
        <w:br/>
      </w:r>
      <w:r>
        <w:rPr>
          <w:sz w:val="28"/>
          <w:szCs w:val="28"/>
        </w:rPr>
        <w:t xml:space="preserve">на территории Ханты-Мансийского автономного округа – Югры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70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1 января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в перечень объектов оценки включены</w:t>
      </w:r>
      <w:r>
        <w:rPr>
          <w:b/>
          <w:bCs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552 275</w:t>
      </w:r>
      <w:r>
        <w:rPr>
          <w:sz w:val="28"/>
          <w:szCs w:val="28"/>
        </w:rPr>
        <w:t xml:space="preserve"> объектов недвижимости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right="74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3 июля 2016 года </w:t>
        <w:br/>
        <w:t xml:space="preserve">№ 237-ФЗ «О государственной кадастровой оценке» (далее – Закон </w:t>
        <w:br/>
        <w:t xml:space="preserve">о кадастровой оценке)</w:t>
      </w:r>
      <w:r>
        <w:rPr>
          <w:sz w:val="28"/>
          <w:szCs w:val="28"/>
        </w:rPr>
        <w:t xml:space="preserve">,</w:t>
      </w:r>
      <w:bookmarkStart w:id="0" w:name="_GoBack"/>
      <w:r/>
      <w:bookmarkEnd w:id="0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9</w:t>
      </w:r>
      <w:r>
        <w:rPr>
          <w:color w:val="000000" w:themeColor="text1"/>
          <w:sz w:val="28"/>
          <w:szCs w:val="28"/>
        </w:rPr>
        <w:t xml:space="preserve">.0</w:t>
      </w:r>
      <w:r>
        <w:rPr>
          <w:color w:val="000000" w:themeColor="text1"/>
          <w:sz w:val="28"/>
          <w:szCs w:val="28"/>
        </w:rPr>
        <w:t xml:space="preserve">9</w:t>
      </w:r>
      <w:r>
        <w:rPr>
          <w:color w:val="000000" w:themeColor="text1"/>
          <w:sz w:val="28"/>
          <w:szCs w:val="28"/>
        </w:rPr>
        <w:t xml:space="preserve">.202</w:t>
      </w:r>
      <w:r>
        <w:rPr>
          <w:color w:val="000000" w:themeColor="text1"/>
          <w:sz w:val="28"/>
          <w:szCs w:val="28"/>
        </w:rPr>
        <w:t xml:space="preserve">6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Росреестром</w:t>
      </w:r>
      <w:r>
        <w:rPr>
          <w:sz w:val="28"/>
          <w:szCs w:val="28"/>
        </w:rPr>
        <w:t xml:space="preserve"> размещен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онде данных государственной кадастровой оценки проект отчета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06.08.2026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№ 01/ЗУ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 итогах государственной кадастровой оценки всех </w:t>
      </w:r>
      <w:r>
        <w:rPr>
          <w:sz w:val="28"/>
          <w:szCs w:val="28"/>
        </w:rPr>
        <w:t xml:space="preserve">учтенных в Едином государственном реестре недвижимости земельных 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</w:t>
      </w:r>
      <w:r>
        <w:rPr>
          <w:color w:val="000000"/>
          <w:sz w:val="28"/>
          <w:szCs w:val="28"/>
        </w:rPr>
        <w:t xml:space="preserve"> Ханты-Мансийского автономного округа – Югры</w:t>
      </w:r>
      <w:r>
        <w:rPr>
          <w:color w:val="000000"/>
          <w:sz w:val="28"/>
          <w:szCs w:val="28"/>
        </w:rPr>
        <w:t xml:space="preserve"> по состоянию на 01.01.202</w:t>
      </w:r>
      <w:r>
        <w:rPr>
          <w:color w:val="000000"/>
          <w:sz w:val="28"/>
          <w:szCs w:val="28"/>
        </w:rPr>
        <w:t xml:space="preserve">6</w:t>
      </w:r>
      <w:r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– проект 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тчета).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b w:val="0"/>
          <w:color w:val="000000"/>
          <w:szCs w:val="28"/>
        </w:rPr>
      </w:pPr>
      <w:r>
        <w:rPr>
          <w:b w:val="0"/>
          <w:color w:val="000000"/>
          <w:szCs w:val="28"/>
        </w:rPr>
        <w:t xml:space="preserve">Ознакомиться с проектом о</w:t>
      </w:r>
      <w:r>
        <w:rPr>
          <w:b w:val="0"/>
          <w:color w:val="000000"/>
          <w:szCs w:val="28"/>
        </w:rPr>
        <w:t xml:space="preserve">тчета можно на официальном сайте Росреестра в информационно-телекоммуникационной сети «Интернет» (</w:t>
      </w:r>
      <w:hyperlink r:id="rId9" w:tooltip="https://rosreestr.ru/" w:history="1">
        <w:r>
          <w:rPr>
            <w:rStyle w:val="836"/>
            <w:b w:val="0"/>
            <w:color w:val="000000"/>
            <w:szCs w:val="28"/>
          </w:rPr>
          <w:t xml:space="preserve">https://rosreestr.ru/</w:t>
        </w:r>
      </w:hyperlink>
      <w:r>
        <w:rPr>
          <w:b w:val="0"/>
          <w:color w:val="000000"/>
          <w:szCs w:val="28"/>
        </w:rPr>
        <w:t xml:space="preserve">) в разделе «Услуги и сервисы» / «</w:t>
      </w:r>
      <w:r>
        <w:rPr>
          <w:b w:val="0"/>
          <w:color w:val="000000"/>
          <w:szCs w:val="28"/>
        </w:rPr>
        <w:t xml:space="preserve">Сервисы</w:t>
      </w:r>
      <w:r>
        <w:rPr>
          <w:b w:val="0"/>
          <w:color w:val="000000"/>
          <w:szCs w:val="28"/>
        </w:rPr>
        <w:t xml:space="preserve">» </w:t>
      </w:r>
      <w:r>
        <w:rPr>
          <w:b w:val="0"/>
          <w:color w:val="000000"/>
          <w:szCs w:val="28"/>
        </w:rPr>
        <w:t xml:space="preserve">/</w:t>
      </w:r>
      <w:r>
        <w:rPr>
          <w:b w:val="0"/>
          <w:color w:val="000000"/>
          <w:szCs w:val="28"/>
        </w:rPr>
        <w:t xml:space="preserve"> «</w:t>
      </w:r>
      <w:r>
        <w:rPr>
          <w:b w:val="0"/>
          <w:color w:val="000000"/>
          <w:szCs w:val="28"/>
        </w:rPr>
        <w:t xml:space="preserve">Фонд данных государственной кадастровой оценки»</w:t>
      </w:r>
      <w:r>
        <w:rPr>
          <w:b w:val="0"/>
          <w:color w:val="000000"/>
          <w:szCs w:val="28"/>
        </w:rPr>
        <w:t xml:space="preserve">, а также на официальном сайте БУ «Центр имущественных отношений» (</w:t>
      </w:r>
      <w:hyperlink r:id="rId10" w:tooltip="https://cio-hmao.ru/" w:history="1">
        <w:r>
          <w:rPr>
            <w:rStyle w:val="836"/>
            <w:b w:val="0"/>
            <w:color w:val="000000"/>
            <w:szCs w:val="28"/>
          </w:rPr>
          <w:t xml:space="preserve">https://cio-hmao.ru</w:t>
        </w:r>
      </w:hyperlink>
      <w:r>
        <w:rPr>
          <w:b w:val="0"/>
          <w:color w:val="000000"/>
          <w:szCs w:val="28"/>
        </w:rPr>
        <w:t xml:space="preserve">/) </w:t>
        <w:br/>
        <w:t xml:space="preserve">в разделе «Определение кадастровой стоимости» / «Отчеты об оценке» / «</w:t>
      </w:r>
      <w:r>
        <w:rPr>
          <w:b w:val="0"/>
          <w:color w:val="000000"/>
          <w:szCs w:val="28"/>
        </w:rPr>
        <w:t xml:space="preserve">Проект отчета</w:t>
      </w:r>
      <w:r>
        <w:rPr>
          <w:b w:val="0"/>
          <w:color w:val="000000"/>
          <w:szCs w:val="28"/>
        </w:rPr>
        <w:t xml:space="preserve">».</w:t>
      </w:r>
      <w:r>
        <w:rPr>
          <w:b w:val="0"/>
          <w:color w:val="000000"/>
          <w:szCs w:val="28"/>
        </w:rPr>
      </w:r>
      <w:r>
        <w:rPr>
          <w:b w:val="0"/>
          <w:color w:val="000000"/>
          <w:szCs w:val="28"/>
        </w:rPr>
      </w:r>
    </w:p>
    <w:p>
      <w:pPr>
        <w:pStyle w:val="838"/>
        <w:ind w:firstLine="70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14 </w:t>
      </w:r>
      <w:r>
        <w:rPr>
          <w:sz w:val="28"/>
          <w:szCs w:val="28"/>
        </w:rPr>
        <w:t xml:space="preserve">Закона о</w:t>
      </w:r>
      <w:r>
        <w:rPr>
          <w:sz w:val="28"/>
          <w:szCs w:val="28"/>
        </w:rPr>
        <w:t xml:space="preserve"> кадастровой оценке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БУ «Центр имущественных отношений» принимает замечания к </w:t>
      </w:r>
      <w:r>
        <w:rPr>
          <w:sz w:val="28"/>
          <w:szCs w:val="28"/>
        </w:rPr>
        <w:t xml:space="preserve">проекту отчета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70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Замечания к проекту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тчета представляются любыми заинтересованными лицами в течение </w:t>
      </w:r>
      <w:r>
        <w:rPr>
          <w:sz w:val="28"/>
          <w:szCs w:val="28"/>
        </w:rPr>
        <w:t xml:space="preserve">тридцати календарных</w:t>
      </w:r>
      <w:r>
        <w:rPr>
          <w:sz w:val="28"/>
          <w:szCs w:val="28"/>
        </w:rPr>
        <w:t xml:space="preserve"> дней со дня </w:t>
      </w:r>
      <w:r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 xml:space="preserve">проекта о</w:t>
      </w:r>
      <w:r>
        <w:rPr>
          <w:sz w:val="28"/>
          <w:szCs w:val="28"/>
        </w:rPr>
        <w:t xml:space="preserve">тчета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онде данных государственной кадастровой </w:t>
      </w:r>
      <w:r>
        <w:rPr>
          <w:sz w:val="28"/>
          <w:szCs w:val="28"/>
        </w:rPr>
        <w:t xml:space="preserve">оценки </w:t>
      </w:r>
      <w:r>
        <w:rPr>
          <w:color w:val="000000" w:themeColor="text1"/>
          <w:sz w:val="28"/>
          <w:szCs w:val="28"/>
        </w:rPr>
        <w:t xml:space="preserve">(последний день приема замечаний 08</w:t>
      </w:r>
      <w:r>
        <w:rPr>
          <w:color w:val="000000" w:themeColor="text1"/>
          <w:sz w:val="28"/>
          <w:szCs w:val="28"/>
        </w:rPr>
        <w:t xml:space="preserve">.10</w:t>
      </w:r>
      <w:r>
        <w:rPr>
          <w:color w:val="000000" w:themeColor="text1"/>
          <w:sz w:val="28"/>
          <w:szCs w:val="28"/>
        </w:rPr>
        <w:t xml:space="preserve">.20</w:t>
      </w:r>
      <w:r>
        <w:rPr>
          <w:color w:val="000000" w:themeColor="text1"/>
          <w:sz w:val="28"/>
          <w:szCs w:val="28"/>
        </w:rPr>
        <w:t xml:space="preserve">26</w:t>
      </w:r>
      <w:r>
        <w:rPr>
          <w:color w:val="000000" w:themeColor="text1"/>
          <w:sz w:val="28"/>
          <w:szCs w:val="28"/>
        </w:rPr>
        <w:t xml:space="preserve">).</w:t>
      </w:r>
      <w:r>
        <w:rPr>
          <w:color w:val="000000" w:themeColor="text1"/>
          <w:sz w:val="28"/>
          <w:szCs w:val="28"/>
        </w:rPr>
        <w:t xml:space="preserve"> Замечания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тчета наряду с изложением их сути в обязательном порядке должны содержать: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numPr>
          <w:ilvl w:val="0"/>
          <w:numId w:val="3"/>
        </w:numPr>
        <w:ind w:left="0" w:firstLine="709"/>
        <w:jc w:val="both"/>
        <w:spacing w:before="0" w:beforeAutospacing="0" w:after="0" w:afterAutospacing="0" w:line="360" w:lineRule="auto"/>
        <w:tabs>
          <w:tab w:val="left" w:pos="992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фамилию, имя и </w:t>
      </w:r>
      <w:r>
        <w:rPr>
          <w:sz w:val="28"/>
          <w:szCs w:val="28"/>
        </w:rPr>
        <w:t xml:space="preserve">отчество </w:t>
      </w:r>
      <w:r>
        <w:rPr>
          <w:sz w:val="28"/>
          <w:szCs w:val="28"/>
        </w:rPr>
        <w:t xml:space="preserve">(при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  <w:br/>
        <w:t xml:space="preserve">к проекту отчета;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numPr>
          <w:ilvl w:val="0"/>
          <w:numId w:val="3"/>
        </w:numPr>
        <w:ind w:left="0" w:firstLine="709"/>
        <w:jc w:val="both"/>
        <w:spacing w:before="0" w:beforeAutospacing="0" w:after="0" w:afterAutospacing="0" w:line="360" w:lineRule="auto"/>
        <w:tabs>
          <w:tab w:val="left" w:pos="992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кадастровый номер объекта недвижимости, в отношении определения кадастровой стоимости которого предоставляется замечание </w:t>
        <w:br/>
        <w:t xml:space="preserve">к </w:t>
      </w:r>
      <w:r>
        <w:rPr>
          <w:sz w:val="28"/>
          <w:szCs w:val="28"/>
        </w:rPr>
        <w:t xml:space="preserve">проекту отчета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numPr>
          <w:ilvl w:val="0"/>
          <w:numId w:val="3"/>
        </w:numPr>
        <w:ind w:left="0" w:firstLine="709"/>
        <w:jc w:val="both"/>
        <w:spacing w:before="0" w:beforeAutospacing="0" w:after="0" w:afterAutospacing="0" w:line="360" w:lineRule="auto"/>
        <w:tabs>
          <w:tab w:val="left" w:pos="992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указание на номера страниц </w:t>
      </w:r>
      <w:r>
        <w:rPr>
          <w:sz w:val="28"/>
          <w:szCs w:val="28"/>
        </w:rPr>
        <w:t xml:space="preserve">(разделов) </w:t>
      </w:r>
      <w:r>
        <w:rPr>
          <w:sz w:val="28"/>
          <w:szCs w:val="28"/>
        </w:rPr>
        <w:t xml:space="preserve">проекта отчета, к которым </w:t>
      </w:r>
      <w:r>
        <w:rPr>
          <w:sz w:val="28"/>
          <w:szCs w:val="28"/>
        </w:rPr>
        <w:t xml:space="preserve">представляется</w:t>
      </w:r>
      <w:r>
        <w:rPr>
          <w:sz w:val="28"/>
          <w:szCs w:val="28"/>
        </w:rPr>
        <w:t xml:space="preserve"> замечани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при необходимости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Замечания к проекту отчета могут быть поданы следующими способами: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</w:p>
    <w:p>
      <w:pPr>
        <w:pStyle w:val="673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36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почтовым отправлением в БУ «Центр имущественных отношений» по адресу: 628012, г. Ханты-Мансийск, ул. Студенческая, д. 22, каб. 309;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</w:p>
    <w:p>
      <w:pPr>
        <w:pStyle w:val="673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36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при личном обращении в БУ «Центр имущественных отношений» по адресу: г. Ханты-Мансийск, </w:t>
      </w: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ул. Студенческая, д. 22</w:t>
      </w: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, каб. 309, время приема: пн.- пт. с 9:00 до 17:00, (перерыв 13:00 - 14:00);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</w:p>
    <w:p>
      <w:pPr>
        <w:pStyle w:val="673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36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по </w:t>
      </w: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электронной почте БУ «Центр имущественных отношений»: </w:t>
      </w:r>
      <w:hyperlink r:id="rId11" w:tooltip="mailto:fondim86@cio-hmao.ru" w:history="1">
        <w:r>
          <w:rPr>
            <w:rStyle w:val="836"/>
            <w:rFonts w:ascii="Times New Roman" w:hAnsi="Times New Roman" w:eastAsia="Arial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fondim86@cio-hmao.ru</w:t>
        </w:r>
      </w:hyperlink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</w:p>
    <w:p>
      <w:pPr>
        <w:pStyle w:val="673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36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hyperlink r:id="rId12" w:tooltip="https://mfc.admhmao.ru/" w:history="1">
        <w:r>
          <w:rPr>
            <w:rStyle w:val="836"/>
            <w:rFonts w:ascii="Times New Roman" w:hAnsi="Times New Roman" w:eastAsia="Arial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через многофункциональные центры Ханты-Мансийского автономного округа</w:t>
        </w:r>
      </w:hyperlink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 – Югры</w:t>
      </w: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;</w:t>
      </w: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r>
    </w:p>
    <w:p>
      <w:pPr>
        <w:pStyle w:val="673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36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через Федеральную государственную географическую информационную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систему «Единая цифровая платформа «Национальная система пространственных данн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ых» (</w:t>
      </w:r>
      <w:hyperlink r:id="rId13" w:tooltip="https://nspd.gov.ru/cadastral-price/submission" w:history="1">
        <w:r>
          <w:rPr>
            <w:rStyle w:val="836"/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u w:val="single"/>
          </w:rPr>
        </w:r>
        <w:r>
          <w:rPr>
            <w:rStyle w:val="836"/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u w:val="single"/>
          </w:rPr>
          <w:t xml:space="preserve">https://nspd.gov.ru/</w:t>
        </w:r>
        <w:r>
          <w:rPr>
            <w:rStyle w:val="836"/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u w:val="single"/>
          </w:rPr>
        </w:r>
      </w:hyperlink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673"/>
        <w:numPr>
          <w:ilvl w:val="0"/>
          <w:numId w:val="1"/>
        </w:numPr>
        <w:ind w:left="0" w:right="0" w:firstLine="709"/>
        <w:jc w:val="both"/>
        <w:spacing w:before="0" w:after="0" w:line="360" w:lineRule="auto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через Единый портал государственных и муниципальных услуг.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themeColor="background1" w:fill="ffffff" w:themeFill="background1"/>
        <w:rPr>
          <w:b w:val="0"/>
          <w:bCs w:val="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Примерная форма замечаний к проекту отчета размещена </w:t>
        <w:br/>
        <w:t xml:space="preserve">на официальном сай</w:t>
      </w:r>
      <w:r>
        <w:rPr>
          <w:rFonts w:ascii="Times New Roman" w:hAnsi="Times New Roman" w:eastAsia="Arial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те </w:t>
      </w:r>
      <w:hyperlink r:id="rId14" w:tooltip="https://cio-hmao.ru/services/opredelenie-kadastrovoy-stoimosti/uslugi/rassmotrenie-zamechaniya-k-promezhu/" w:history="1">
        <w:r>
          <w:rPr>
            <w:rStyle w:val="836"/>
            <w:rFonts w:ascii="Times New Roman" w:hAnsi="Times New Roman" w:eastAsia="Arial" w:cs="Times New Roman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БУ «Центр имущественных отношений»</w:t>
        </w:r>
      </w:hyperlink>
      <w:r>
        <w:rPr>
          <w:b w:val="0"/>
          <w:bCs w:val="0"/>
          <w:sz w:val="28"/>
          <w:szCs w:val="28"/>
          <w:highlight w:val="white"/>
        </w:rPr>
        <w:t xml:space="preserve"> </w:t>
        <w:br/>
      </w:r>
      <w:hyperlink r:id="rId15" w:tooltip="https://cio-hmao.ru/" w:history="1">
        <w:r>
          <w:rPr>
            <w:rStyle w:val="836"/>
            <w:b w:val="0"/>
            <w:bCs w:val="0"/>
            <w:color w:val="000000"/>
            <w:sz w:val="28"/>
            <w:szCs w:val="28"/>
            <w:highlight w:val="white"/>
          </w:rPr>
          <w:t xml:space="preserve">https://cio-hmao.ru/</w:t>
        </w:r>
      </w:hyperlink>
      <w:r>
        <w:rPr>
          <w:b w:val="0"/>
          <w:bCs w:val="0"/>
          <w:sz w:val="28"/>
          <w:szCs w:val="28"/>
          <w:highlight w:val="white"/>
        </w:rPr>
        <w:t xml:space="preserve"> </w:t>
      </w:r>
      <w:r>
        <w:rPr>
          <w:b w:val="0"/>
          <w:bCs w:val="0"/>
          <w:sz w:val="28"/>
          <w:szCs w:val="28"/>
          <w:highlight w:val="white"/>
        </w:rPr>
        <w:t xml:space="preserve">в </w:t>
      </w:r>
      <w:r>
        <w:rPr>
          <w:b w:val="0"/>
          <w:bCs w:val="0"/>
          <w:sz w:val="28"/>
          <w:szCs w:val="28"/>
          <w:highlight w:val="white"/>
        </w:rPr>
        <w:t xml:space="preserve">разделе «</w:t>
      </w:r>
      <w:r>
        <w:rPr>
          <w:b w:val="0"/>
          <w:bCs w:val="0"/>
          <w:sz w:val="28"/>
          <w:szCs w:val="28"/>
          <w:highlight w:val="white"/>
        </w:rPr>
        <w:t xml:space="preserve">Определение кадастровой стоимости</w:t>
      </w:r>
      <w:r>
        <w:rPr>
          <w:b w:val="0"/>
          <w:bCs w:val="0"/>
          <w:sz w:val="28"/>
          <w:szCs w:val="28"/>
          <w:highlight w:val="white"/>
        </w:rPr>
        <w:t xml:space="preserve">»</w:t>
      </w:r>
      <w:r>
        <w:rPr>
          <w:b w:val="0"/>
          <w:bCs w:val="0"/>
          <w:sz w:val="28"/>
          <w:szCs w:val="28"/>
          <w:highlight w:val="white"/>
        </w:rPr>
        <w:t xml:space="preserve"> </w:t>
      </w:r>
      <w:r>
        <w:rPr>
          <w:b w:val="0"/>
          <w:bCs w:val="0"/>
          <w:sz w:val="28"/>
          <w:szCs w:val="28"/>
          <w:highlight w:val="white"/>
        </w:rPr>
        <w:t xml:space="preserve">/</w:t>
      </w:r>
      <w:r>
        <w:rPr>
          <w:b w:val="0"/>
          <w:bCs w:val="0"/>
          <w:sz w:val="28"/>
          <w:szCs w:val="28"/>
          <w:highlight w:val="white"/>
        </w:rPr>
        <w:t xml:space="preserve"> </w:t>
      </w:r>
      <w:r>
        <w:rPr>
          <w:b w:val="0"/>
          <w:bCs w:val="0"/>
          <w:sz w:val="28"/>
          <w:szCs w:val="28"/>
          <w:highlight w:val="white"/>
        </w:rPr>
        <w:t xml:space="preserve">«</w:t>
      </w:r>
      <w:r>
        <w:rPr>
          <w:b w:val="0"/>
          <w:bCs w:val="0"/>
          <w:sz w:val="28"/>
          <w:szCs w:val="28"/>
          <w:highlight w:val="white"/>
        </w:rPr>
        <w:t xml:space="preserve">Услуги</w:t>
      </w:r>
      <w:r>
        <w:rPr>
          <w:b w:val="0"/>
          <w:bCs w:val="0"/>
          <w:sz w:val="28"/>
          <w:szCs w:val="28"/>
          <w:highlight w:val="white"/>
        </w:rPr>
        <w:t xml:space="preserve">»</w:t>
      </w:r>
      <w:r>
        <w:rPr>
          <w:b w:val="0"/>
          <w:bCs w:val="0"/>
          <w:sz w:val="28"/>
          <w:szCs w:val="28"/>
          <w:highlight w:val="white"/>
        </w:rPr>
        <w:t xml:space="preserve"> </w:t>
      </w:r>
      <w:r>
        <w:rPr>
          <w:b w:val="0"/>
          <w:bCs w:val="0"/>
          <w:sz w:val="28"/>
          <w:szCs w:val="28"/>
          <w:highlight w:val="white"/>
        </w:rPr>
        <w:t xml:space="preserve">/</w:t>
      </w:r>
      <w:r>
        <w:rPr>
          <w:b w:val="0"/>
          <w:bCs w:val="0"/>
          <w:sz w:val="28"/>
          <w:szCs w:val="28"/>
          <w:highlight w:val="white"/>
        </w:rPr>
        <w:t xml:space="preserve"> </w:t>
      </w:r>
      <w:r>
        <w:rPr>
          <w:b w:val="0"/>
          <w:bCs w:val="0"/>
          <w:sz w:val="28"/>
          <w:szCs w:val="28"/>
          <w:highlight w:val="white"/>
        </w:rPr>
        <w:t xml:space="preserve">«Рассмотрение замечани</w:t>
      </w:r>
      <w:r>
        <w:rPr>
          <w:b w:val="0"/>
          <w:bCs w:val="0"/>
          <w:sz w:val="28"/>
          <w:szCs w:val="28"/>
          <w:highlight w:val="white"/>
        </w:rPr>
        <w:t xml:space="preserve">й</w:t>
      </w:r>
      <w:r>
        <w:rPr>
          <w:b w:val="0"/>
          <w:bCs w:val="0"/>
          <w:sz w:val="28"/>
          <w:szCs w:val="28"/>
          <w:highlight w:val="white"/>
        </w:rPr>
        <w:t xml:space="preserve"> к проекту отчета об итогах государственной кадастровой о</w:t>
      </w:r>
      <w:r>
        <w:rPr>
          <w:b w:val="0"/>
          <w:bCs w:val="0"/>
          <w:sz w:val="28"/>
          <w:szCs w:val="28"/>
          <w:highlight w:val="white"/>
        </w:rPr>
        <w:t xml:space="preserve">ценки»</w:t>
      </w:r>
      <w:r>
        <w:rPr>
          <w:b w:val="0"/>
          <w:bCs w:val="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К замечаниям могут быть приложены документы, подтверждающие наличие ошибок, допущенных при определении кадастровой стоимости, </w:t>
        <w:br/>
        <w:t xml:space="preserve">а также иные документы, содержащие сведения о характеристиках объектов недвижимости, которые не были учтены при оп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ределении их кадастровой стоимости.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</w:r>
      <w:r/>
    </w:p>
    <w:p>
      <w:pPr>
        <w:ind w:firstLine="708"/>
        <w:jc w:val="both"/>
        <w:spacing w:after="0" w:afterAutospacing="0" w:line="360" w:lineRule="auto"/>
        <w:rPr>
          <w:b w:val="0"/>
        </w:rPr>
      </w:pPr>
      <w:r>
        <w:rPr>
          <w:b w:val="0"/>
          <w:szCs w:val="28"/>
        </w:rPr>
        <w:t xml:space="preserve">Замечания к проекту отчета</w:t>
      </w:r>
      <w:r>
        <w:rPr>
          <w:b w:val="0"/>
          <w:szCs w:val="28"/>
        </w:rPr>
        <w:t xml:space="preserve">, не соответствующие требованиям, установленным статьей 14 Закона о кадастровой оценке, не подлежат рассмотрению</w:t>
      </w:r>
      <w:r>
        <w:rPr>
          <w:b w:val="0"/>
          <w:szCs w:val="28"/>
        </w:rPr>
        <w:t xml:space="preserve">.</w:t>
      </w:r>
      <w:r>
        <w:rPr>
          <w:b w:val="0"/>
        </w:rPr>
      </w:r>
      <w:r>
        <w:rPr>
          <w:b w:val="0"/>
        </w:rPr>
      </w:r>
    </w:p>
    <w:sectPr>
      <w:footnotePr/>
      <w:endnotePr/>
      <w:type w:val="nextPage"/>
      <w:pgSz w:w="11906" w:h="16838" w:orient="portrait"/>
      <w:pgMar w:top="1417" w:right="1276" w:bottom="1134" w:left="1559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3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rPr>
      <w:rFonts w:ascii="Times New Roman" w:hAnsi="Times New Roman" w:eastAsia="Calibri" w:cs="Times New Roman"/>
      <w:b/>
      <w:sz w:val="28"/>
      <w:szCs w:val="26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>
    <w:name w:val="Hyperlink"/>
    <w:rPr>
      <w:color w:val="0000ff"/>
      <w:u w:val="single"/>
    </w:rPr>
  </w:style>
  <w:style w:type="paragraph" w:styleId="837" w:customStyle="1">
    <w:name w:val="Standar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838">
    <w:name w:val="Normal (Web)"/>
    <w:basedOn w:val="832"/>
    <w:uiPriority w:val="99"/>
    <w:unhideWhenUsed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rosreestr.ru/" TargetMode="External"/><Relationship Id="rId10" Type="http://schemas.openxmlformats.org/officeDocument/2006/relationships/hyperlink" Target="https://cio-hmao.ru/" TargetMode="External"/><Relationship Id="rId11" Type="http://schemas.openxmlformats.org/officeDocument/2006/relationships/hyperlink" Target="mailto:fondim86@cio-hmao.ru" TargetMode="External"/><Relationship Id="rId12" Type="http://schemas.openxmlformats.org/officeDocument/2006/relationships/hyperlink" Target="https://mfc.admhmao.ru/" TargetMode="External"/><Relationship Id="rId13" Type="http://schemas.openxmlformats.org/officeDocument/2006/relationships/hyperlink" Target="https://nspd.gov.ru/cadastral-price/submission" TargetMode="External"/><Relationship Id="rId14" Type="http://schemas.openxmlformats.org/officeDocument/2006/relationships/hyperlink" Target="https://cio-hmao.ru/services/opredelenie-kadastrovoy-stoimosti/uslugi/rassmotrenie-zamechaniya-k-promezhu/" TargetMode="External"/><Relationship Id="rId15" Type="http://schemas.openxmlformats.org/officeDocument/2006/relationships/hyperlink" Target="https://cio-hmao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Хохрева Яна Владимировна</dc:creator>
  <cp:keywords/>
  <dc:description/>
  <cp:lastModifiedBy>KoluninaTA</cp:lastModifiedBy>
  <cp:revision>7</cp:revision>
  <dcterms:created xsi:type="dcterms:W3CDTF">2022-09-19T04:37:00Z</dcterms:created>
  <dcterms:modified xsi:type="dcterms:W3CDTF">2026-09-11T11:01:47Z</dcterms:modified>
</cp:coreProperties>
</file>