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jc w:val="righ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5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к приказу Департамента промышленности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5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5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от «13» февраля 2026 года № 38-п-34</w:t>
      </w:r>
      <w:r/>
    </w:p>
    <w:p>
      <w:pPr>
        <w:pStyle w:val="875"/>
        <w:jc w:val="right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5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75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Извещение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75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 проведении</w:t>
      </w:r>
      <w:r>
        <w:rPr>
          <w:rFonts w:ascii="Times New Roman" w:hAnsi="Times New Roman"/>
          <w:b w:val="0"/>
          <w:bCs w:val="0"/>
          <w:strike w:val="0"/>
          <w:sz w:val="28"/>
          <w:szCs w:val="28"/>
          <w:highlight w:val="none"/>
        </w:rPr>
        <w:t xml:space="preserve"> аукциона № 1/2026 в электронной форме</w:t>
      </w:r>
      <w:r>
        <w:rPr>
          <w:rFonts w:ascii="Times New Roman" w:hAnsi="Times New Roman"/>
          <w:b w:val="0"/>
          <w:bCs w:val="0"/>
          <w:strike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 продаже права </w:t>
        <w:br/>
        <w:t xml:space="preserve">на заключение договора пользования рыболовным участком</w:t>
        <w:br/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для осуществления промышленного рыболовства во внутренних водных объектах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  <w:br/>
        <w:t xml:space="preserve">(далее – извещение, аукцион)</w:t>
      </w:r>
      <w:r/>
    </w:p>
    <w:p>
      <w:pPr>
        <w:pStyle w:val="875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Предмет аукциона (лот)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–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право 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заключение договора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пользования рыболовным участком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для осуществления промышленного рыболовства во внутренних водных объектах Ханты-Мансийского автономного округа – Югры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Организатор аукциона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– Департамент промышленности Ханты-Мансийского автономного округа – Югры (далее – организатор аукциона).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Место нахождения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организатора аукциона: 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628011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,</w:t>
        <w:br/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Ханты-Мансийский автономный округ – Югра, г.Ханты-Мансийск, ул.Рознина, д.64, каб.315.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Адрес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электронной почты: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depprom@admhmao.ru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.</w:t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Контактные телефоны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</w:rPr>
        <w:t xml:space="preserve">+7(3467) 35-34-04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добавочный номер 3825 (Кудым Павел Викторович), добавочный номер 3834 (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Слепокуров Аким Валерьевич), добавочный номер 3833 (Карташова Елена Валерьевна).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3. Оператор электронной площадки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АО «Сбербанк – АСТ»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Адрес сайта оператора электронной площадки в информационно-телекоммуникационной сети «Интернет»: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hyperlink r:id="rId13" w:tooltip="https://utp.sberbank-ast.ru." w:history="1"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  <w:t xml:space="preserve">https://utp.sberbank-ast.ru</w:t>
        </w:r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lang w:val="ru-RU"/>
          </w:rPr>
          <w:t xml:space="preserve">.</w:t>
        </w:r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</w:r>
        <w:r>
          <w:rPr>
            <w:rStyle w:val="879"/>
            <w:color w:val="000000" w:themeColor="text1"/>
          </w:rPr>
        </w:r>
      </w:hyperlink>
      <w:r>
        <w:rPr>
          <w:color w:val="000000" w:themeColor="text1"/>
        </w:rPr>
      </w:r>
      <w:r/>
    </w:p>
    <w:p>
      <w:pPr>
        <w:ind w:left="0" w:right="0" w:firstLine="709"/>
        <w:jc w:val="both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Официальные сайты, на которых размещена документация об аукционе: 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фициальный сайт Российской Федерации в информационно-телекоммуникационной сети «Интернет» для размещения информации о проведении торгов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https://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hyperlink r:id="rId14" w:tooltip="http://www.torgi.gov.ru" w:history="1"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u w:val="none"/>
            <w:lang w:val="en-US"/>
          </w:rPr>
          <w:t xml:space="preserve">torgi.gov.ru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(далее – официальный сайт)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en-US"/>
        </w:rPr>
        <w:t xml:space="preserve">;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официальный сайт оператора электронной площадки (АО «Сбербанк – АСТ»)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hyperlink r:id="rId15" w:tooltip="https://utp.sberbank-ast.ru" w:history="1"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  <w:t xml:space="preserve">https://utp.sberbank-ast.ru</w:t>
        </w:r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;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официальный сайт организатора аукциона (Департамент промышленности Ханты-Мансийского автономного округа – Югры) -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</w:r>
      <w:hyperlink r:id="rId16" w:tooltip="https://depprom.admhmao.ru/deyatelnost/upravlenie-agropromyshlennogo-kompleksa/rybokhozyaystvennyy-kompleks/." w:history="1"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u w:val="none"/>
            <w:lang w:val="ru-RU"/>
          </w:rPr>
          <w:t xml:space="preserve">https://depprom.admhmao.ru/deyatelnost/upravlenie-agropromyshlennogo-kompleksa/rybokhozyaystvennyy-kompleks/</w:t>
        </w:r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u w:val="none"/>
          </w:rPr>
        </w:r>
      </w:hyperlink>
      <w:r>
        <w:rPr>
          <w:highlight w:val="none"/>
        </w:rPr>
        <w:t xml:space="preserve">.</w:t>
      </w:r>
      <w:r>
        <w:rPr>
          <w:highlight w:val="none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Реквизиты решения о проведении аукциона: </w:t>
      </w:r>
      <w:r>
        <w:rPr>
          <w:rFonts w:ascii="Times New Roman" w:hAnsi="Times New Roman" w:cs="Times New Roman"/>
          <w:sz w:val="28"/>
          <w:szCs w:val="28"/>
        </w:rPr>
        <w:t xml:space="preserve">приказ Департамента промышленности Ханты-Мансийского автономного округа – Югры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  <w:t xml:space="preserve">«13» февраля 2026 года № 38-п-34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«О проведении аукциона в электронной форме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 продаже права на заключение договора пользования рыболовным участком для осуществления промышленного рыболовства во внутренних водных объектах Ханты-Мансийского автономного </w:t>
        <w:br/>
        <w:t xml:space="preserve">округа – Югры».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Предметы аукциона (лоты), начальная цена лота, «шаг аукциона», размер средств, вносимых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качестве обеспечения заявки на участие в аукционе (далее – задаток), определены организатором аукциона в соответствии с постановлением Правительства Российской Федерации </w:t>
        <w:br/>
        <w:t xml:space="preserve">от 31 августа 2024 года № 1206 «Об утверждении Правил организации и проведения аукци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онов в электронной форме по продаже права на заключение договора о закреплении доли квоты добычи (вылова) водных биологических ресурсов, договора пользования водными биологическими ресурсами, договора пользования рыболовным участком» на основании сведений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Тюменского филиала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Федерального государственного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бюджетного научного учреждения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«Всероссийский научно-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исследовательский институт рыбного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хозяйства и океанографии»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приведены в таблице.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tbl>
      <w:tblPr>
        <w:tblStyle w:val="867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701"/>
        <w:gridCol w:w="1579"/>
        <w:gridCol w:w="1249"/>
        <w:gridCol w:w="1184"/>
        <w:gridCol w:w="1090"/>
      </w:tblGrid>
      <w:tr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№ лота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Наименование рыболовного участка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Район местонахождения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Протяженность, лощадь рыболовного участка</w:t>
            </w:r>
            <w:r/>
          </w:p>
        </w:tc>
        <w:tc>
          <w:tcPr>
            <w:tcW w:w="1249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Начальная цена лота, руб.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84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Шаг аукциона, руб.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Задаток, руб.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1.</w:t>
            </w:r>
            <w:r>
              <w:rPr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Малая Обь </w:t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(710-715 км)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Березовский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район Ханты-Мансийского автономного округа – Югры </w:t>
            </w:r>
            <w:r>
              <w:rPr>
                <w:sz w:val="20"/>
                <w:szCs w:val="20"/>
                <w:highlight w:val="red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5 000 м,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293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2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28 838,93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1 441,95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11 535,57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2.</w:t>
            </w:r>
            <w:r>
              <w:rPr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Панкраткина</w:t>
            </w:r>
            <w:r>
              <w:rPr>
                <w:sz w:val="20"/>
                <w:szCs w:val="20"/>
                <w:highlight w:val="red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Кондинский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район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Ханты-Мансийского автономного округа – Югры </w:t>
            </w:r>
            <w:r>
              <w:rPr>
                <w:sz w:val="20"/>
                <w:szCs w:val="20"/>
                <w:highlight w:val="red"/>
              </w:rPr>
            </w:r>
            <w:r/>
          </w:p>
        </w:tc>
        <w:tc>
          <w:tcPr>
            <w:tcW w:w="1579" w:type="dxa"/>
            <w:vAlign w:val="center"/>
            <w:vMerge w:val="restart"/>
            <w:textDirection w:val="lrTb"/>
            <w:noWrap w:val="false"/>
          </w:tcPr>
          <w:p>
            <w:pPr>
              <w:pStyle w:val="88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57 000 м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2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10 907,26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545,36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4 362,90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3.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8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Обь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(1625-1633 км)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Нижневартовский район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79" w:type="dxa"/>
            <w:vAlign w:val="center"/>
            <w:vMerge w:val="restart"/>
            <w:textDirection w:val="lrTb"/>
            <w:noWrap w:val="false"/>
          </w:tcPr>
          <w:p>
            <w:pPr>
              <w:pStyle w:val="88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8 000 м,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1240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249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37 134,21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1 856,71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14 853,68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4.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8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Иртыш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(180-178 км)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Ханты-Мансийский район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79" w:type="dxa"/>
            <w:vAlign w:val="center"/>
            <w:vMerge w:val="restart"/>
            <w:textDirection w:val="lrTb"/>
            <w:noWrap w:val="false"/>
          </w:tcPr>
          <w:p>
            <w:pPr>
              <w:pStyle w:val="88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2 000 м,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1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57,32 га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249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10 216,42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510,82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4 086,57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5.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8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</w:t>
              <w:br/>
              <w:t xml:space="preserve">Горная Обь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(816-823 км)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Октябрьский район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79" w:type="dxa"/>
            <w:vAlign w:val="center"/>
            <w:vMerge w:val="restart"/>
            <w:textDirection w:val="lrTb"/>
            <w:noWrap w:val="false"/>
          </w:tcPr>
          <w:p>
            <w:pPr>
              <w:pStyle w:val="88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7 000 м,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1102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2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39 759,40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1 987,97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15 903,76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</w:tbl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Картографический материал водных объектов с нанесенными границами рыболовных участков размещен в приложении к извещению.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Договор пользования рыболовным участком для осуществления промышленного рыболовства заключается с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победителем аукциона и вступает в силу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 дня его подписания сторонами и действует 20 лет.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  <w:r>
        <w:rPr>
          <w:sz w:val="28"/>
          <w:szCs w:val="28"/>
          <w:highlight w:val="red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lang w:val="en-US"/>
        </w:rPr>
        <w:t xml:space="preserve">8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Внесение задатка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, указанного в пункте 6 настоящего извещения, осуществляется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заявителем на банковский счет, открытый этим заявителем в банке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(далее – специальный счет)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  <w:highlight w:val="none"/>
        </w:rPr>
        <w:t xml:space="preserve">включенном в перечень банков в 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  <w:highlight w:val="none"/>
        </w:rPr>
        <w:t xml:space="preserve">соответствии 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  <w:highlight w:val="none"/>
        </w:rPr>
        <w:t xml:space="preserve">с распоряжением Правительства Российской Федерации от </w:t>
        <w:br/>
        <w:t xml:space="preserve">13 июля 2018 года № 1451-р «Об утверждении перечня банков в соответствии с подпунктом «а» пункта 1 части 5 статьи 44 Федерального закона от 5 апреля 2013 года № 44-ФЗ».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В целях блокирования и прекращения блокирования денежных средств на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специальном счете взаимодействие банков с оператором электронной площадки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осуществляется в соответствии с положениями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Оператор электронной площадки в течение одного часа с момента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размещения организатором аукциона на электронной площадке протокола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 результатами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ау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кциона направляет в банк информацию: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 реквизитах специальных счетов участников аукциона, не победивших в аукционе, в целях прекращения блокирования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денежных средств в размере задатка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;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 реквизитах счета организатора аукциона в целях перевода задатка победителя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аукциона.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Банк не позднее одного часа с момента получения от оператора электронной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площадки указанной информации, прекращает блокирование денежных средств на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специальном счете, реквизиты которого поступили от оператора электронной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площадки, и направляет информацию о прекращении такого блокирования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оператору электронной площадки и (или) осуществляет перевод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заблокированных денежных средств в размере задатка на счет организатора аукциона.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Победитель аукциона в течение 10 рабочих дней со дня получения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от оператора электронной площадки уведомления обязан внести доплату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(разница между задатком и окончательной стоимостью предмета аукциона) на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счет организатора аукциона.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В случае, если победителем аукциона признан участник аукциона,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сделавший предпоследнее предложение о цене предмета аукциона (лота), он в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течение 10 календарных дней со дня признания победителем аукциона вносит на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счет организатора аукциона плату за предмет аукциона (лота), в размере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предложенной цены предмета аукциона (лота) в ходе аукциона.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Победителю аукциона, признанному уклонившимся от заключения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договора пользования рыболовным участком, задаток не возвращается.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lang w:val="en-US"/>
        </w:rPr>
        <w:t xml:space="preserve">9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Счет организатора аукциона для перечисления банком задатков победителей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аукциона, перечисления победителями аукциона доплат и перечисления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участником аукциона, сделавшим предпоследнее предложение о цене предмета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аукциона (лота), оплаты: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Наименование получателя средств: УФК по Ханты-Мансийскому автономному округу – Югре (Департамент промышленности Ханты-Мансийского автономного округа – Югры, л/с 04871D91560)</w:t>
      </w:r>
      <w:r>
        <w:rPr>
          <w:highlight w:val="none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Наименование банка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ОКЦ № 8 УГУ Банка России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//УФК по Хан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ты-М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ансийскому автономному округу – Югре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г.Ханты-Мансийск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Номер счета получателя средств (номер казначейского счета) 03100643000000018700 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Банковский счет, входящий в состав единого казначейского счета (ЕКС) 40102810245370000007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БИК 007162163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ИНН 8601063930 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КПП 860101001  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ОКТМО 71871000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КБК 076 1 12 06011 01 6000 120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Назначение платежа: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07611206011016000120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Плата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а заключение договора пользования рыболовным участком по результатам аукциона </w:t>
        <w:br/>
        <w:t xml:space="preserve">№ ____ по продаже права на заключение такого договора, лот № _____, название участка ________ »</w:t>
      </w:r>
      <w:r>
        <w:rPr>
          <w:highlight w:val="none"/>
        </w:rPr>
        <w:t xml:space="preserve">.</w:t>
      </w:r>
      <w:r>
        <w:rPr>
          <w:highlight w:val="none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10.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Заявки на учас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тие в аукционе подаются оператору электронной площадки с 00:00 «24» февраля 2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026 года до 09:00 «16» марта 2026 года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(время г.Ханты-Мансийск)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по адресу сайта оператора электронной площадки в информационно-телекоммуникационной сети «Интернет»: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hyperlink r:id="rId17" w:tooltip="http://www.sberbank-ast.ru" w:history="1"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https://utp.sberbank-ast.ru</w:t>
        </w:r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(переход через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официальный сайт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(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https://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</w:r>
      <w:hyperlink r:id="rId18" w:tooltip="http://www.torgi.gov.ru" w:history="1">
        <w:r>
          <w:rPr>
            <w:rStyle w:val="879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u w:val="none"/>
            <w:lang w:val="en-US"/>
          </w:rPr>
          <w:t xml:space="preserve">torgi.gov.ru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11.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Дата, время и порядок проведения аукциона.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Аукцион проводится «31» марта 2026 года в 12:00 ч. 00 мин. в соответствии с порядком,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установленным разделом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Правил организации и проведения аукционов в электронной форме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 продаже права на заключение договора о закреплении доли квоты добычи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(вылова) водных биологических ресурсов, договора пользования водными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биологическими ресурсами, договора пользования рыболовным участком,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утвержденных постановлением Правительства Российской Федерации от 31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августа </w:t>
        <w:br/>
        <w:t xml:space="preserve">2024 года № 1206.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12. Даты начала и окончания рассмотрения заявок на участие в аукционе комиссией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 проведению аукциона.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Дата начала рассмотрения заявок: «17» марта 2026 года.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Дата окончания рассмотрения заявок: «30» марта 2026 года.</w:t>
      </w:r>
      <w:r>
        <w:rPr>
          <w:sz w:val="28"/>
          <w:szCs w:val="28"/>
        </w:rPr>
      </w:r>
      <w:r/>
    </w:p>
    <w:p>
      <w:pPr>
        <w:pStyle w:val="875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13.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Срок отмены аукционы: не позднее «26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» марта 2026 года.</w:t>
      </w:r>
      <w:r>
        <w:rPr>
          <w:sz w:val="28"/>
          <w:szCs w:val="28"/>
        </w:rPr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418" w:right="1276" w:bottom="1134" w:left="1559" w:header="0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entury Gothic">
    <w:panose1 w:val="020B050202020202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68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/>
  </w:p>
  <w:p>
    <w:pPr>
      <w:pStyle w:val="868"/>
      <w:jc w:val="center"/>
      <w:rPr>
        <w:rFonts w:ascii="Times New Roman" w:hAnsi="Times New Roman" w:cs="Times New Roman"/>
        <w:sz w:val="24"/>
        <w:szCs w:val="24"/>
        <w:highlight w:val="none"/>
      </w:rPr>
    </w:pPr>
    <w:fldSimple w:instr="PAGE \* MERGEFORMAT">
      <w:r>
        <w:rPr>
          <w:rFonts w:ascii="Times New Roman" w:hAnsi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  <w:r/>
  </w:p>
  <w:p>
    <w:pPr>
      <w:pStyle w:val="86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61"/>
    <w:next w:val="861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basedOn w:val="862"/>
    <w:link w:val="688"/>
    <w:uiPriority w:val="9"/>
    <w:rPr>
      <w:rFonts w:ascii="Arial" w:hAnsi="Arial" w:eastAsia="Arial" w:cs="Arial"/>
      <w:sz w:val="40"/>
      <w:szCs w:val="40"/>
    </w:rPr>
  </w:style>
  <w:style w:type="paragraph" w:styleId="690">
    <w:name w:val="Heading 2"/>
    <w:basedOn w:val="861"/>
    <w:next w:val="861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1">
    <w:name w:val="Heading 2 Char"/>
    <w:basedOn w:val="862"/>
    <w:link w:val="690"/>
    <w:uiPriority w:val="9"/>
    <w:rPr>
      <w:rFonts w:ascii="Arial" w:hAnsi="Arial" w:eastAsia="Arial" w:cs="Arial"/>
      <w:sz w:val="34"/>
    </w:rPr>
  </w:style>
  <w:style w:type="paragraph" w:styleId="692">
    <w:name w:val="Heading 3"/>
    <w:basedOn w:val="861"/>
    <w:next w:val="861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3">
    <w:name w:val="Heading 3 Char"/>
    <w:basedOn w:val="862"/>
    <w:link w:val="692"/>
    <w:uiPriority w:val="9"/>
    <w:rPr>
      <w:rFonts w:ascii="Arial" w:hAnsi="Arial" w:eastAsia="Arial" w:cs="Arial"/>
      <w:sz w:val="30"/>
      <w:szCs w:val="30"/>
    </w:rPr>
  </w:style>
  <w:style w:type="paragraph" w:styleId="694">
    <w:name w:val="Heading 4"/>
    <w:basedOn w:val="861"/>
    <w:next w:val="861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5">
    <w:name w:val="Heading 4 Char"/>
    <w:basedOn w:val="862"/>
    <w:link w:val="694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basedOn w:val="862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basedOn w:val="862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basedOn w:val="862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basedOn w:val="862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basedOn w:val="862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1"/>
    <w:uiPriority w:val="34"/>
    <w:qFormat/>
    <w:pPr>
      <w:contextualSpacing/>
      <w:ind w:left="720"/>
    </w:pPr>
  </w:style>
  <w:style w:type="paragraph" w:styleId="707">
    <w:name w:val="Title"/>
    <w:basedOn w:val="861"/>
    <w:next w:val="861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basedOn w:val="862"/>
    <w:link w:val="707"/>
    <w:uiPriority w:val="10"/>
    <w:rPr>
      <w:sz w:val="48"/>
      <w:szCs w:val="48"/>
    </w:rPr>
  </w:style>
  <w:style w:type="paragraph" w:styleId="709">
    <w:name w:val="Subtitle"/>
    <w:basedOn w:val="861"/>
    <w:next w:val="861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basedOn w:val="862"/>
    <w:link w:val="709"/>
    <w:uiPriority w:val="11"/>
    <w:rPr>
      <w:sz w:val="24"/>
      <w:szCs w:val="24"/>
    </w:rPr>
  </w:style>
  <w:style w:type="paragraph" w:styleId="711">
    <w:name w:val="Quote"/>
    <w:basedOn w:val="861"/>
    <w:next w:val="861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1"/>
    <w:next w:val="861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character" w:styleId="715">
    <w:name w:val="Header Char"/>
    <w:basedOn w:val="862"/>
    <w:link w:val="868"/>
    <w:uiPriority w:val="99"/>
  </w:style>
  <w:style w:type="character" w:styleId="716">
    <w:name w:val="Footer Char"/>
    <w:basedOn w:val="862"/>
    <w:link w:val="870"/>
    <w:uiPriority w:val="99"/>
  </w:style>
  <w:style w:type="paragraph" w:styleId="717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870"/>
    <w:uiPriority w:val="99"/>
  </w:style>
  <w:style w:type="table" w:styleId="719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2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2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paragraph" w:styleId="865">
    <w:name w:val="Balloon Text"/>
    <w:basedOn w:val="861"/>
    <w:link w:val="86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6" w:customStyle="1">
    <w:name w:val="Текст выноски Знак"/>
    <w:basedOn w:val="862"/>
    <w:link w:val="865"/>
    <w:uiPriority w:val="99"/>
    <w:semiHidden/>
    <w:rPr>
      <w:rFonts w:ascii="Tahoma" w:hAnsi="Tahoma" w:cs="Tahoma"/>
      <w:sz w:val="16"/>
      <w:szCs w:val="16"/>
    </w:rPr>
  </w:style>
  <w:style w:type="table" w:styleId="867">
    <w:name w:val="Table Grid"/>
    <w:basedOn w:val="86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8">
    <w:name w:val="Header"/>
    <w:basedOn w:val="861"/>
    <w:link w:val="8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9" w:customStyle="1">
    <w:name w:val="Верхний колонтитул Знак"/>
    <w:basedOn w:val="862"/>
    <w:link w:val="868"/>
    <w:uiPriority w:val="99"/>
  </w:style>
  <w:style w:type="paragraph" w:styleId="870">
    <w:name w:val="Footer"/>
    <w:basedOn w:val="861"/>
    <w:link w:val="8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1" w:customStyle="1">
    <w:name w:val="Нижний колонтитул Знак"/>
    <w:basedOn w:val="862"/>
    <w:link w:val="870"/>
    <w:uiPriority w:val="99"/>
  </w:style>
  <w:style w:type="paragraph" w:styleId="872" w:customStyle="1">
    <w:name w:val="ConsPlusTitle"/>
    <w:pPr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73">
    <w:name w:val="Body Text Indent"/>
    <w:basedOn w:val="861"/>
    <w:link w:val="874"/>
    <w:pPr>
      <w:ind w:left="283"/>
      <w:spacing w:after="120"/>
    </w:pPr>
    <w:rPr>
      <w:rFonts w:ascii="Century Gothic" w:hAnsi="Century Gothic" w:eastAsia="Times New Roman" w:cs="Times New Roman"/>
      <w:lang w:val="en-US"/>
    </w:rPr>
  </w:style>
  <w:style w:type="character" w:styleId="874" w:customStyle="1">
    <w:name w:val="Основной текст с отступом Знак"/>
    <w:basedOn w:val="862"/>
    <w:link w:val="873"/>
    <w:rPr>
      <w:rFonts w:ascii="Century Gothic" w:hAnsi="Century Gothic" w:eastAsia="Times New Roman" w:cs="Times New Roman"/>
      <w:lang w:val="en-US"/>
    </w:rPr>
  </w:style>
  <w:style w:type="paragraph" w:styleId="875">
    <w:name w:val="No Spacing"/>
    <w:uiPriority w:val="1"/>
    <w:qFormat/>
    <w:pPr>
      <w:spacing w:after="0" w:line="240" w:lineRule="auto"/>
    </w:pPr>
  </w:style>
  <w:style w:type="paragraph" w:styleId="876">
    <w:name w:val="Body Text 2"/>
    <w:basedOn w:val="861"/>
    <w:link w:val="877"/>
    <w:uiPriority w:val="99"/>
    <w:unhideWhenUsed/>
    <w:pPr>
      <w:spacing w:after="120" w:line="480" w:lineRule="auto"/>
    </w:pPr>
  </w:style>
  <w:style w:type="character" w:styleId="877" w:customStyle="1">
    <w:name w:val="Основной текст 2 Знак"/>
    <w:basedOn w:val="862"/>
    <w:link w:val="876"/>
    <w:uiPriority w:val="99"/>
  </w:style>
  <w:style w:type="paragraph" w:styleId="878" w:customStyle="1">
    <w:name w:val="Default"/>
    <w:pPr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879">
    <w:name w:val="Hyperlink"/>
    <w:basedOn w:val="862"/>
    <w:uiPriority w:val="99"/>
    <w:unhideWhenUsed/>
    <w:rPr>
      <w:color w:val="0000ff" w:themeColor="hyperlink"/>
      <w:u w:val="single"/>
    </w:rPr>
  </w:style>
  <w:style w:type="character" w:styleId="880" w:customStyle="1">
    <w:name w:val="extended-text__short"/>
    <w:basedOn w:val="862"/>
  </w:style>
  <w:style w:type="paragraph" w:styleId="881" w:customStyle="1">
    <w:name w:val="ConsPlusNormal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882">
    <w:name w:val="Strong"/>
    <w:basedOn w:val="862"/>
    <w:uiPriority w:val="22"/>
    <w:qFormat/>
    <w:rPr>
      <w:b/>
      <w:bCs/>
    </w:rPr>
  </w:style>
  <w:style w:type="paragraph" w:styleId="883" w:customStyle="1">
    <w:name w:val="       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Courier New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hyperlink" Target="https://utp.sberbank-ast.ru." TargetMode="External"/><Relationship Id="rId14" Type="http://schemas.openxmlformats.org/officeDocument/2006/relationships/hyperlink" Target="http://www.torgi.gov.ru" TargetMode="External"/><Relationship Id="rId15" Type="http://schemas.openxmlformats.org/officeDocument/2006/relationships/hyperlink" Target="https://utp.sberbank-ast.ru" TargetMode="External"/><Relationship Id="rId16" Type="http://schemas.openxmlformats.org/officeDocument/2006/relationships/hyperlink" Target="https://depprom.admhmao.ru/deyatelnost/upravlenie-agropromyshlennogo-kompleksa/rybokhozyaystvennyy-kompleks/." TargetMode="External"/><Relationship Id="rId17" Type="http://schemas.openxmlformats.org/officeDocument/2006/relationships/hyperlink" Target="http://www.sberbank-ast.ru" TargetMode="External"/><Relationship Id="rId18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0017-04A6-4E84-8FA5-4AACE21F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36</cp:revision>
  <dcterms:created xsi:type="dcterms:W3CDTF">2020-07-02T06:46:00Z</dcterms:created>
  <dcterms:modified xsi:type="dcterms:W3CDTF">2026-02-16T07:57:13Z</dcterms:modified>
</cp:coreProperties>
</file>