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Единовременная выплата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Кто может участвовать: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Субъекты МСП, зарегистрированные и работающие в Югре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Финансовая поддержка 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предоставляется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Субъектам МСП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беспечивающим трудовую занятость лиц из числа ветеранов и (или) участников специальной военной операции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Принявши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м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в списочный состав Участников СВО не ранее 01.01.2025 года,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не являющихся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внешними совместителями Субъекта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МСП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и не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выполняющих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работы по договорам гражданско-правового характера для Субъекта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МСП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а также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на дату подачи Заявки, проработавши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х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у Субъекта не менее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4 (четырех)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месяцев.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Размер 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Единовременной выплаты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100 000 (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то тысяч) рублей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е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сли Участник СВО на момент подачи Заявки в Фонд проработал 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(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четыре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) и более месяцев до даты подачи Заявки в Фонд;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Заявитель вправе подать Заявку не более одного раза в текущем календарном году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Механизм работы: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</w:r>
    </w:p>
    <w:p>
      <w:pPr>
        <w:pStyle w:val="65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61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>
        <w:tblPrEx/>
        <w:trPr/>
        <w:tc>
          <w:tcPr>
            <w:tcW w:w="8625" w:type="dxa"/>
            <w:textDirection w:val="lrTb"/>
            <w:noWrap w:val="false"/>
          </w:tcPr>
          <w:p>
            <w:pPr>
              <w:pStyle w:val="6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документов носит заявительный характер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3"/>
              <w:ind w:left="0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9525</wp:posOffset>
                </wp:positionV>
                <wp:extent cx="180975" cy="171450"/>
                <wp:effectExtent l="19050" t="0" r="28575" b="3810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67" type="#_x0000_t67" style="position:absolute;z-index:251661312;o:allowoverlap:true;o:allowincell:true;mso-position-horizontal-relative:text;margin-left:242.25pt;mso-position-horizontal:absolute;mso-position-vertical-relative:text;margin-top:0.75pt;mso-position-vertical:absolute;width:14.25pt;height:13.50pt;mso-wrap-distance-left:9.00pt;mso-wrap-distance-top:0.00pt;mso-wrap-distance-right:9.00pt;mso-wrap-distance-bottom:0.00pt;visibility:visible;" fillcolor="#4472C4" strokecolor="#0A111D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tbl>
      <w:tblPr>
        <w:tblStyle w:val="661"/>
        <w:tblW w:w="8655" w:type="dxa"/>
        <w:tblInd w:w="679" w:type="dxa"/>
        <w:tblLook w:val="04A0" w:firstRow="1" w:lastRow="0" w:firstColumn="1" w:lastColumn="0" w:noHBand="0" w:noVBand="1"/>
      </w:tblPr>
      <w:tblGrid>
        <w:gridCol w:w="8655"/>
      </w:tblGrid>
      <w:tr>
        <w:tblPrEx/>
        <w:trPr>
          <w:trHeight w:val="507"/>
        </w:trPr>
        <w:tc>
          <w:tcPr>
            <w:tcW w:w="8655" w:type="dxa"/>
            <w:textDirection w:val="lrTb"/>
            <w:noWrap w:val="false"/>
          </w:tcPr>
          <w:p>
            <w:pPr>
              <w:pStyle w:val="6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регистрируется в электронном журнале регистрации </w:t>
            </w: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аявок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38100</wp:posOffset>
                </wp:positionV>
                <wp:extent cx="180975" cy="171450"/>
                <wp:effectExtent l="19050" t="0" r="28575" b="38100"/>
                <wp:wrapNone/>
                <wp:docPr id="2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67" type="#_x0000_t67" style="position:absolute;z-index:251663360;o:allowoverlap:true;o:allowincell:true;mso-position-horizontal-relative:text;margin-left:242.25pt;mso-position-horizontal:absolute;mso-position-vertical-relative:text;margin-top:3.00pt;mso-position-vertical:absolute;width:14.25pt;height:13.50pt;mso-wrap-distance-left:9.00pt;mso-wrap-distance-top:0.00pt;mso-wrap-distance-right:9.00pt;mso-wrap-distance-bottom:0.00pt;visibility:visible;" fillcolor="#4472C4" strokecolor="#0A111D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tbl>
      <w:tblPr>
        <w:tblStyle w:val="661"/>
        <w:tblW w:w="8714" w:type="dxa"/>
        <w:tblInd w:w="664" w:type="dxa"/>
        <w:tblLook w:val="04A0" w:firstRow="1" w:lastRow="0" w:firstColumn="1" w:lastColumn="0" w:noHBand="0" w:noVBand="1"/>
      </w:tblPr>
      <w:tblGrid>
        <w:gridCol w:w="8714"/>
      </w:tblGrid>
      <w:tr>
        <w:tblPrEx/>
        <w:trPr>
          <w:trHeight w:val="535"/>
        </w:trPr>
        <w:tc>
          <w:tcPr>
            <w:tcW w:w="8714" w:type="dxa"/>
            <w:textDirection w:val="lrTb"/>
            <w:noWrap w:val="false"/>
          </w:tcPr>
          <w:p>
            <w:pPr>
              <w:pStyle w:val="653"/>
              <w:ind w:left="0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15-дневный срок, </w:t>
            </w:r>
            <w:r>
              <w:rPr>
                <w:rFonts w:ascii="Times New Roman" w:hAnsi="Times New Roman" w:cs="Times New Roman"/>
              </w:rPr>
              <w:t xml:space="preserve">исчисляемый в рабочих днях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со дня регистрации Заявки</w:t>
            </w:r>
            <w:r>
              <w:rPr>
                <w:rFonts w:ascii="Times New Roman" w:hAnsi="Times New Roman" w:cs="Times New Roman"/>
              </w:rPr>
              <w:t xml:space="preserve"> сотрудники Фонда проверяют </w:t>
            </w:r>
            <w:r>
              <w:rPr>
                <w:rFonts w:ascii="Times New Roman" w:hAnsi="Times New Roman" w:cs="Times New Roman"/>
              </w:rPr>
              <w:t xml:space="preserve">Заявителя и предоставленны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 им документ</w:t>
            </w:r>
            <w:r>
              <w:rPr>
                <w:rFonts w:ascii="Times New Roman" w:hAnsi="Times New Roman" w:cs="Times New Roman"/>
              </w:rPr>
              <w:t xml:space="preserve">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38100</wp:posOffset>
                </wp:positionV>
                <wp:extent cx="180975" cy="171450"/>
                <wp:effectExtent l="19050" t="0" r="28575" b="38100"/>
                <wp:wrapNone/>
                <wp:docPr id="3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67" type="#_x0000_t67" style="position:absolute;z-index:251707392;o:allowoverlap:true;o:allowincell:true;mso-position-horizontal-relative:text;margin-left:242.25pt;mso-position-horizontal:absolute;mso-position-vertical-relative:text;margin-top:3.00pt;mso-position-vertical:absolute;width:14.25pt;height:13.50pt;mso-wrap-distance-left:9.00pt;mso-wrap-distance-top:0.00pt;mso-wrap-distance-right:9.00pt;mso-wrap-distance-bottom:0.00pt;visibility:visible;" fillcolor="#4472C4" strokecolor="#0A111D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415290</wp:posOffset>
                </wp:positionH>
                <wp:positionV relativeFrom="paragraph">
                  <wp:posOffset>8890</wp:posOffset>
                </wp:positionV>
                <wp:extent cx="5514975" cy="7620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5149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Дирекция Фонда в течение 5 (пяти) рабочих дней со дня получения Заявок и результатов проверки Заявителей и предоставленных ими документов принимает решение о предоставлении Единовременной выплаты или об отказе в предоставлении Единовременной выплаты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709440;o:allowoverlap:true;o:allowincell:true;mso-position-horizontal-relative:margin;margin-left:32.70pt;mso-position-horizontal:absolute;mso-position-vertical-relative:text;margin-top:0.70pt;mso-position-vertical:absolute;width:434.25pt;height:60.0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Дирекция Фонда в течение 5 (пяти) рабочих дней со дня получения Заявок и результатов проверки Заявителей и предоставленных ими документов принимает решение о предоставлении Единовременной выплаты или об отказе в предоставлении Единовременной выплаты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9525</wp:posOffset>
                </wp:positionV>
                <wp:extent cx="180975" cy="171450"/>
                <wp:effectExtent l="38100" t="0" r="0" b="47625"/>
                <wp:wrapNone/>
                <wp:docPr id="5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67" type="#_x0000_t67" style="position:absolute;z-index:251711488;o:allowoverlap:true;o:allowincell:true;mso-position-horizontal-relative:text;margin-left:243.75pt;mso-position-horizontal:absolute;mso-position-vertical-relative:text;margin-top:0.75pt;mso-position-vertical:absolute;width:14.25pt;height:13.50pt;mso-wrap-distance-left:9.00pt;mso-wrap-distance-top:0.00pt;mso-wrap-distance-right:9.00pt;mso-wrap-distance-bottom:0.00pt;visibility:visible;" fillcolor="#4472C4" strokecolor="#0A111D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495925" cy="600075"/>
                <wp:effectExtent l="0" t="0" r="28575" b="28575"/>
                <wp:wrapNone/>
                <wp:docPr id="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495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Фонд направляет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Заявителю не позднее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х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 рабочих дней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 со дня принятия решения Дирекцией Фонда по электронной почте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</w:rPr>
                              <w:t xml:space="preserve"> уведомление о положительном или отрицательном решении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713536;o:allowoverlap:true;o:allowincell:true;mso-position-horizontal-relative:margin;mso-position-horizontal:right;mso-position-vertical-relative:text;margin-top:22.00pt;mso-position-vertical:absolute;width:432.75pt;height:47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Фонд направляет 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Заявителю не позднее 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3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-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х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 рабочих дней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 со дня принятия решения Дирекцией Фонда по электронной почте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1"/>
                        </w:rPr>
                        <w:t xml:space="preserve"> уведомление о положительном или отрицательном решении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Перечень 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запрашиваемых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документов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размещае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тся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на портале 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бизнесюгры.рф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огласие на обработку и распространение персональных данных Заявителя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устава, а также все изменения к нему (для юридических лиц);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опию паспорта индивидуального предпринимателя, лица действующего от имени юридического лица;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опию приказа о назначении лица, имеющего право действовать без доверенности от имени юридического лица;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</w:t>
      </w:r>
      <w:r>
        <w:rPr>
          <w:rFonts w:ascii="Times New Roman" w:hAnsi="Times New Roman" w:cs="Times New Roman"/>
        </w:rPr>
        <w:t xml:space="preserve">оверенность, оформленную в соответствии с законодательством Российской Федерации, подтверждающую наличие у уполномоченного лица Заявителя права на подачу Заявки;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правку налогового органа об отсутствии задолженности по налогам;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арточка предприятия;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огласие на обработку персональных данных Участника СВО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правку о доходах и суммах налога физического лица – Участника СВО (форма по КНД 1175018), утвержденную приказом Федеральной налоговой службы, за период с начала года по месяц, предшествующий подаче Заявки, но не менее 4 месяцев до даты подачи Заявки в Фонд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опию приказа о приеме на работу Участника СВО с указанием условия приема на работу и характера предстоящей работы или копию трудового договора, заключенного с Участником СВО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</w:t>
      </w:r>
      <w:r>
        <w:rPr>
          <w:rFonts w:ascii="Times New Roman" w:hAnsi="Times New Roman" w:cs="Times New Roman"/>
        </w:rPr>
        <w:t xml:space="preserve">окументы, подтверждающие статус Участника СВО:</w:t>
      </w:r>
      <w:r>
        <w:rPr>
          <w:rFonts w:ascii="Times New Roman" w:hAnsi="Times New Roman" w:cs="Times New Roman"/>
        </w:rPr>
      </w:r>
    </w:p>
    <w:p>
      <w:pPr>
        <w:ind w:left="72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</w:t>
      </w:r>
      <w:r>
        <w:rPr>
          <w:rFonts w:ascii="Times New Roman" w:hAnsi="Times New Roman" w:cs="Times New Roman"/>
        </w:rPr>
        <w:t xml:space="preserve">опию удостоверения ветерана боевых действий (при наличии)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72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</w:t>
      </w:r>
      <w:r>
        <w:rPr>
          <w:rFonts w:ascii="Times New Roman" w:hAnsi="Times New Roman" w:cs="Times New Roman"/>
        </w:rPr>
        <w:t xml:space="preserve">опию или оригинал справки, подтверждающей участие в СВО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5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5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5"/>
    <w:link w:val="6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5"/>
    <w:link w:val="6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5"/>
    <w:link w:val="63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5"/>
    <w:link w:val="63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5"/>
    <w:link w:val="6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5"/>
    <w:link w:val="63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5"/>
    <w:link w:val="634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5"/>
    <w:link w:val="647"/>
    <w:uiPriority w:val="10"/>
    <w:rPr>
      <w:sz w:val="48"/>
      <w:szCs w:val="48"/>
    </w:rPr>
  </w:style>
  <w:style w:type="character" w:styleId="37">
    <w:name w:val="Subtitle Char"/>
    <w:basedOn w:val="635"/>
    <w:link w:val="649"/>
    <w:uiPriority w:val="11"/>
    <w:rPr>
      <w:sz w:val="24"/>
      <w:szCs w:val="24"/>
    </w:rPr>
  </w:style>
  <w:style w:type="character" w:styleId="39">
    <w:name w:val="Quote Char"/>
    <w:link w:val="651"/>
    <w:uiPriority w:val="29"/>
    <w:rPr>
      <w:i/>
    </w:rPr>
  </w:style>
  <w:style w:type="character" w:styleId="41">
    <w:name w:val="Intense Quote Char"/>
    <w:link w:val="655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5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1"/>
    <w:basedOn w:val="625"/>
    <w:next w:val="625"/>
    <w:link w:val="638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27">
    <w:name w:val="Heading 2"/>
    <w:basedOn w:val="625"/>
    <w:next w:val="625"/>
    <w:link w:val="639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8">
    <w:name w:val="Heading 3"/>
    <w:basedOn w:val="625"/>
    <w:next w:val="625"/>
    <w:link w:val="640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9">
    <w:name w:val="Heading 4"/>
    <w:basedOn w:val="625"/>
    <w:next w:val="625"/>
    <w:link w:val="641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30">
    <w:name w:val="Heading 5"/>
    <w:basedOn w:val="625"/>
    <w:next w:val="625"/>
    <w:link w:val="642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31">
    <w:name w:val="Heading 6"/>
    <w:basedOn w:val="625"/>
    <w:next w:val="625"/>
    <w:link w:val="643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32">
    <w:name w:val="Heading 7"/>
    <w:basedOn w:val="625"/>
    <w:next w:val="625"/>
    <w:link w:val="644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33">
    <w:name w:val="Heading 8"/>
    <w:basedOn w:val="625"/>
    <w:next w:val="625"/>
    <w:link w:val="645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4">
    <w:name w:val="Heading 9"/>
    <w:basedOn w:val="625"/>
    <w:next w:val="625"/>
    <w:link w:val="646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5" w:default="1">
    <w:name w:val="Default Paragraph Font"/>
    <w:uiPriority w:val="1"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 w:customStyle="1">
    <w:name w:val="Заголовок 1 Знак"/>
    <w:basedOn w:val="635"/>
    <w:link w:val="626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9" w:customStyle="1">
    <w:name w:val="Заголовок 2 Знак"/>
    <w:basedOn w:val="635"/>
    <w:link w:val="627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40" w:customStyle="1">
    <w:name w:val="Заголовок 3 Знак"/>
    <w:basedOn w:val="635"/>
    <w:link w:val="628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41" w:customStyle="1">
    <w:name w:val="Заголовок 4 Знак"/>
    <w:basedOn w:val="635"/>
    <w:link w:val="629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42" w:customStyle="1">
    <w:name w:val="Заголовок 5 Знак"/>
    <w:basedOn w:val="635"/>
    <w:link w:val="630"/>
    <w:uiPriority w:val="9"/>
    <w:semiHidden/>
    <w:rPr>
      <w:rFonts w:eastAsiaTheme="majorEastAsia" w:cstheme="majorBidi"/>
      <w:color w:val="2f5496" w:themeColor="accent1" w:themeShade="BF"/>
    </w:rPr>
  </w:style>
  <w:style w:type="character" w:styleId="643" w:customStyle="1">
    <w:name w:val="Заголовок 6 Знак"/>
    <w:basedOn w:val="635"/>
    <w:link w:val="631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44" w:customStyle="1">
    <w:name w:val="Заголовок 7 Знак"/>
    <w:basedOn w:val="635"/>
    <w:link w:val="632"/>
    <w:uiPriority w:val="9"/>
    <w:semiHidden/>
    <w:rPr>
      <w:rFonts w:eastAsiaTheme="majorEastAsia" w:cstheme="majorBidi"/>
      <w:color w:val="595959" w:themeColor="text1" w:themeTint="A6"/>
    </w:rPr>
  </w:style>
  <w:style w:type="character" w:styleId="645" w:customStyle="1">
    <w:name w:val="Заголовок 8 Знак"/>
    <w:basedOn w:val="635"/>
    <w:link w:val="633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6" w:customStyle="1">
    <w:name w:val="Заголовок 9 Знак"/>
    <w:basedOn w:val="635"/>
    <w:link w:val="634"/>
    <w:uiPriority w:val="9"/>
    <w:semiHidden/>
    <w:rPr>
      <w:rFonts w:eastAsiaTheme="majorEastAsia" w:cstheme="majorBidi"/>
      <w:color w:val="272727" w:themeColor="text1" w:themeTint="D8"/>
    </w:rPr>
  </w:style>
  <w:style w:type="paragraph" w:styleId="647">
    <w:name w:val="Title"/>
    <w:basedOn w:val="625"/>
    <w:next w:val="625"/>
    <w:link w:val="648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8" w:customStyle="1">
    <w:name w:val="Заголовок Знак"/>
    <w:basedOn w:val="635"/>
    <w:link w:val="64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9">
    <w:name w:val="Subtitle"/>
    <w:basedOn w:val="625"/>
    <w:next w:val="625"/>
    <w:link w:val="65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50" w:customStyle="1">
    <w:name w:val="Подзаголовок Знак"/>
    <w:basedOn w:val="635"/>
    <w:link w:val="649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51">
    <w:name w:val="Quote"/>
    <w:basedOn w:val="625"/>
    <w:next w:val="625"/>
    <w:link w:val="65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52" w:customStyle="1">
    <w:name w:val="Цитата 2 Знак"/>
    <w:basedOn w:val="635"/>
    <w:link w:val="651"/>
    <w:uiPriority w:val="29"/>
    <w:rPr>
      <w:i/>
      <w:iCs/>
      <w:color w:val="404040" w:themeColor="text1" w:themeTint="BF"/>
    </w:rPr>
  </w:style>
  <w:style w:type="paragraph" w:styleId="653">
    <w:name w:val="List Paragraph"/>
    <w:basedOn w:val="625"/>
    <w:uiPriority w:val="34"/>
    <w:qFormat/>
    <w:pPr>
      <w:contextualSpacing/>
      <w:ind w:left="720"/>
    </w:pPr>
  </w:style>
  <w:style w:type="character" w:styleId="654">
    <w:name w:val="Intense Emphasis"/>
    <w:basedOn w:val="635"/>
    <w:uiPriority w:val="21"/>
    <w:qFormat/>
    <w:rPr>
      <w:i/>
      <w:iCs/>
      <w:color w:val="2f5496" w:themeColor="accent1" w:themeShade="BF"/>
    </w:rPr>
  </w:style>
  <w:style w:type="paragraph" w:styleId="655">
    <w:name w:val="Intense Quote"/>
    <w:basedOn w:val="625"/>
    <w:next w:val="625"/>
    <w:link w:val="656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56" w:customStyle="1">
    <w:name w:val="Выделенная цитата Знак"/>
    <w:basedOn w:val="635"/>
    <w:link w:val="655"/>
    <w:uiPriority w:val="30"/>
    <w:rPr>
      <w:i/>
      <w:iCs/>
      <w:color w:val="2f5496" w:themeColor="accent1" w:themeShade="BF"/>
    </w:rPr>
  </w:style>
  <w:style w:type="character" w:styleId="657">
    <w:name w:val="Intense Reference"/>
    <w:basedOn w:val="635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58">
    <w:name w:val="Hyperlink"/>
    <w:basedOn w:val="635"/>
    <w:uiPriority w:val="99"/>
    <w:unhideWhenUsed/>
    <w:rPr>
      <w:color w:val="0563c1" w:themeColor="hyperlink"/>
      <w:u w:val="single"/>
    </w:rPr>
  </w:style>
  <w:style w:type="character" w:styleId="659">
    <w:name w:val="Unresolved Mention"/>
    <w:basedOn w:val="635"/>
    <w:uiPriority w:val="99"/>
    <w:semiHidden/>
    <w:unhideWhenUsed/>
    <w:rPr>
      <w:color w:val="605e5c"/>
      <w:shd w:val="clear" w:color="auto" w:fill="e1dfdd"/>
    </w:rPr>
  </w:style>
  <w:style w:type="character" w:styleId="660">
    <w:name w:val="FollowedHyperlink"/>
    <w:basedOn w:val="635"/>
    <w:uiPriority w:val="99"/>
    <w:semiHidden/>
    <w:unhideWhenUsed/>
    <w:rPr>
      <w:color w:val="954f72" w:themeColor="followedHyperlink"/>
      <w:u w:val="single"/>
    </w:rPr>
  </w:style>
  <w:style w:type="table" w:styleId="661">
    <w:name w:val="Table Grid"/>
    <w:basedOn w:val="6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Самкова Анастасия Вячеславовна</dc:creator>
  <cp:keywords/>
  <dc:description/>
  <cp:revision>26</cp:revision>
  <dcterms:created xsi:type="dcterms:W3CDTF">2025-04-23T11:10:00Z</dcterms:created>
  <dcterms:modified xsi:type="dcterms:W3CDTF">2025-08-19T04:12:34Z</dcterms:modified>
</cp:coreProperties>
</file>