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3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к письму Депкультуры Югры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670"/>
        <w:jc w:val="right"/>
        <w:spacing w:after="120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 w:eastAsiaTheme="minorHAnsi"/>
          <w:b/>
          <w:sz w:val="28"/>
          <w:szCs w:val="28"/>
          <w:lang w:eastAsia="en-US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лучшую праздничную тематическую открытку «КАР-КАРД»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70"/>
        <w:numPr>
          <w:ilvl w:val="0"/>
          <w:numId w:val="1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Окружного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на лучшую праздничную тематическую открытку «КАР-КАРД» (далее – Конкурс),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реализуемого в соответствии</w:t>
        <w:br/>
        <w:t xml:space="preserve">с Указом Президента Российской Федерации от 25 декабря 2025 года</w:t>
        <w:br/>
        <w:t xml:space="preserve">№ 962 «О проведении в Российской Федерации Года единства народов России», Указом Президента Российской Федерации от 7 мая 2024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года</w:t>
        <w:br/>
        <w:t xml:space="preserve">№ 309 «О национальных целях развития Российской Федерации на период до 2030 года и на перспективу до 2036 года», Указом Президента Российской Федерации от 25 ноября 2025 года № 858 «О Стратегии государственной национальной политики Российской Федерации</w:t>
        <w:br/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на период до 2036 года»,  в соответствии с утвержденным Департаментом культуры автономного округа государственным заданием автономному учреждению «Окружной Дом народного творчества» на 2026 год</w:t>
        <w:br/>
        <w:t xml:space="preserve">и плановый период 2027 и 2028 годов, от 25 декабря 2025 года.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реализуется в рамках программы основных мероприятий Окружного фольклорного праздника коренных малочисленных народов</w:t>
      </w:r>
      <w:r>
        <w:rPr>
          <w:rFonts w:ascii="Times New Roman" w:hAnsi="Times New Roman" w:cs="Times New Roman"/>
          <w:sz w:val="28"/>
          <w:szCs w:val="28"/>
        </w:rPr>
        <w:t xml:space="preserve"> Севера «Вороний день», утверждённого Постановлением Правительства Ханты-Мансийского автономного</w:t>
        <w:br/>
        <w:t xml:space="preserve">округа – Югры от 31 марта 2012 года № 129-п «О проведении Дня коренных малочисленных народов Севера Ханты-Мансийского автономного округа – Югры «Вороний день».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Учредители и организаторы Конкурса: Департамент культуры Ханты-Мансийского автономного округа – Юг</w:t>
      </w:r>
      <w:r>
        <w:rPr>
          <w:rFonts w:ascii="Times New Roman" w:hAnsi="Times New Roman" w:cs="Times New Roman"/>
          <w:sz w:val="28"/>
          <w:szCs w:val="28"/>
        </w:rPr>
        <w:t xml:space="preserve">ры, автономное учреждение Ханты-Мансийского автономного округа – Югры «Окружной Дом народного творчества», региональное отделение Общероссийской общественно-государственной организации «Ассамблея народов России»</w:t>
        <w:br/>
        <w:t xml:space="preserve">в Ханты-Мансийском автономном округе – Югре.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популяризации традиционной культуры коренных малочисленных народов Севера.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2"/>
          <w:numId w:val="2"/>
        </w:numPr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Выявление и поощрение творческих личностей, отражающих</w:t>
        <w:br/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своих работах природу, историю и традиции родного края художественными средствами;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2"/>
          <w:numId w:val="2"/>
        </w:numPr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Формирование духовно-ценностных ориентиров, бережного</w:t>
        <w:br/>
        <w:t xml:space="preserve">и внимательного отношения к традициям и самобытной культуре народов, проживающих в Югре;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2"/>
          <w:numId w:val="2"/>
        </w:numPr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Развитие прее</w:t>
      </w:r>
      <w:r>
        <w:rPr>
          <w:rFonts w:ascii="Times New Roman" w:hAnsi="Times New Roman" w:cs="Times New Roman"/>
          <w:sz w:val="28"/>
          <w:szCs w:val="28"/>
        </w:rPr>
        <w:t xml:space="preserve">мственности традиций коренных малочисленных народов Севера, реализация творческого потенциала жителей Югры;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2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Создание среды для творческого общения.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этапы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 1 февраля по 20 марта 2026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spacing w:before="0" w:beforeAutospacing="0" w:after="0" w:afterAutospacing="0"/>
        <w:tabs>
          <w:tab w:val="left" w:pos="42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Этапы проведения Конкурса: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669"/>
        <w:tblW w:w="0" w:type="auto"/>
        <w:jc w:val="center"/>
        <w:tblLook w:val="04A0" w:firstRow="1" w:lastRow="0" w:firstColumn="1" w:lastColumn="0" w:noHBand="0" w:noVBand="1"/>
      </w:tblPr>
      <w:tblGrid>
        <w:gridCol w:w="5289"/>
        <w:gridCol w:w="3975"/>
      </w:tblGrid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Приём заявок и работ на участие в Конкурсе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февраля – 15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работ конкурсной комиссией, подведение итогов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20 марта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макетов открыток, печать открыток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4 апреля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Публикация  итогов Конкурса на официальных сайтах организаторов и партнёров Конкурса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апреля 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Церемония награждения победителя Конкурса  (обладатель Гран-При)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апреля 2026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289" w:type="dxa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Рассылка наградных документов в электронном виде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3975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30 июня 2026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Конкурса и возрастные категории участников Конкурса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69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5252"/>
        <w:gridCol w:w="3827"/>
      </w:tblGrid>
      <w:tr>
        <w:tblPrEx/>
        <w:trPr>
          <w:trHeight w:val="728"/>
        </w:trPr>
        <w:tc>
          <w:tcPr>
            <w:tcW w:w="5252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Номинации Конкурса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670"/>
              <w:ind w:left="0" w:right="0" w:firstLine="709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Возрастные категории участников Конкурса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252" w:type="dxa"/>
            <w:textDirection w:val="lrTb"/>
            <w:noWrap w:val="false"/>
          </w:tcPr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Рисованная открытка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(формат 100х150 мм), выполненная в любой технике исполнения (акварель, гуашь, акрил, маркеры, компьютерная графика, смешанная техника)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709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7 до 11 лет (младшие школьники);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12 до 15 лет (школьники);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16 до 18 лет (старшие школьники);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19 и старше (взрослые)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52" w:type="dxa"/>
            <w:textDirection w:val="lrTb"/>
            <w:noWrap w:val="false"/>
          </w:tcPr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Фотооткрытка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jpeg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формат 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мм)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12 до 15 лет (школьники);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16 до 18 лет (старшие школьники);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70"/>
              <w:ind w:left="0" w:right="0" w:firstLine="0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19 и старше (взрослые)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Style w:val="670"/>
        <w:ind w:left="709" w:right="0" w:firstLine="0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Конкурса оценивает конкурсные работы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Содержательность, выразительность сюжета, соответствие 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Окружного фольклорного праздника коренных малочисленных народов Севера «Вороний день»;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Композиционное и цветовое решение,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ригинальность авторской манеры;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70"/>
        <w:numPr>
          <w:ilvl w:val="1"/>
          <w:numId w:val="2"/>
        </w:numPr>
        <w:ind w:left="0" w:right="0" w:firstLine="709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Законченный эстетический вид;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70"/>
        <w:numPr>
          <w:ilvl w:val="1"/>
          <w:numId w:val="2"/>
        </w:numPr>
        <w:ind w:left="0" w:right="0" w:firstLine="709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орнаментики и символики традиционной культуры обских угров;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70"/>
        <w:numPr>
          <w:ilvl w:val="1"/>
          <w:numId w:val="2"/>
        </w:numPr>
        <w:ind w:left="0" w:right="0" w:firstLine="709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Соответствие творческого уровня возрасту автора;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70"/>
        <w:numPr>
          <w:ilvl w:val="1"/>
          <w:numId w:val="2"/>
        </w:numPr>
        <w:contextualSpacing/>
        <w:ind w:left="0" w:right="0" w:firstLine="709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участию в Конкурсе не допускаются творческие работы, созданные при помощи искусственного интеллекта.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670"/>
        <w:contextualSpacing/>
        <w:ind w:left="0" w:right="0"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674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rFonts w:eastAsia="MS Mincho"/>
          <w:b/>
          <w:bCs/>
          <w:sz w:val="28"/>
          <w:szCs w:val="28"/>
          <w:lang w:eastAsia="ja-JP"/>
        </w:rPr>
        <w:t xml:space="preserve">Условия участия</w:t>
      </w:r>
      <w:r>
        <w:rPr>
          <w:b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жители Ханты-Мансийского автономного округа ‒ Югры в возрасте от 7 лет и старше.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только авторские индивидуальные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цифровые файлы, прикрепляемые к заявке, должны быть подписаны с указанием ФИО автора и названия творческой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заполнить заявку</w:t>
        <w:br/>
        <w:t xml:space="preserve">на платфор</w:t>
      </w:r>
      <w:r>
        <w:rPr>
          <w:rFonts w:ascii="Times New Roman" w:hAnsi="Times New Roman" w:cs="Times New Roman"/>
          <w:sz w:val="28"/>
          <w:szCs w:val="28"/>
        </w:rPr>
        <w:t xml:space="preserve">ме «Яндекс».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доступна по ссылке: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/>
      <w:hyperlink r:id="rId10" w:tooltip="https://forms.yandex.ru/u/695267e4e010db4f82d7721b" w:history="1">
        <w:r>
          <w:rPr>
            <w:rStyle w:val="665"/>
            <w:rFonts w:ascii="Times New Roman" w:hAnsi="Times New Roman" w:cs="Times New Roman"/>
            <w:sz w:val="28"/>
            <w:szCs w:val="28"/>
          </w:rPr>
          <w:t xml:space="preserve">https://forms.yandex.ru/u/695267e4e010db4f82d7721b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означает согласие участников</w:t>
        <w:br/>
        <w:t xml:space="preserve">на дальнейшую публикацию их работ с указанием авторства, без оплаты гонорара в печатных, и электронных изданиях</w:t>
      </w:r>
      <w:r>
        <w:rPr>
          <w:rFonts w:ascii="Times New Roman" w:hAnsi="Times New Roman" w:cs="Times New Roman"/>
          <w:sz w:val="28"/>
          <w:szCs w:val="28"/>
        </w:rPr>
        <w:t xml:space="preserve">, на информационных носителях, которые могут быть выпущены организаторами по итогам проекта или в целях его презентации, на официальных сайтах организаторов и партнеров фестиваля, при этом за авторами сохраняются исключительные авторские права на опубликов</w:t>
      </w:r>
      <w:r>
        <w:rPr>
          <w:rFonts w:ascii="Times New Roman" w:hAnsi="Times New Roman" w:cs="Times New Roman"/>
          <w:sz w:val="28"/>
          <w:szCs w:val="28"/>
        </w:rPr>
        <w:t xml:space="preserve">анные произведения (Приложение 1; 2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заявляемые к участию в Конкурсе, не должны противоречить законодательству Российской Федерации  (в частности,    ст. 5 Федерального закона от 29 декабря 2010 года № 436-ФЗ и ст. 4  Федерального закона от 27 июня 2002 года № 114-ФЗ).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которые не отвечают требованиям настоящего положения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в том числе поступившие после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оцениваться не будут.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направляются в срок до 15 марта 2026 года.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новостей в оперативном режиме, предлагаем Вам подписаться на аккаунты Окружного Дома народного творчества</w:t>
        <w:br/>
        <w:t xml:space="preserve">в социальных сетях: </w:t>
      </w:r>
      <w:hyperlink r:id="rId11" w:tooltip="http://www.vk.com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www.vk.com/odntugra86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hyperlink r:id="rId12" w:tooltip="http://www.ok.ru/odntugra86" w:history="1"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www.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o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k.</w:t>
        </w:r>
        <w:r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ru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 xml:space="preserve">/odntugra86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672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 w:line="240" w:lineRule="auto"/>
        <w:tabs>
          <w:tab w:val="left" w:pos="42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sz w:val="28"/>
          <w:szCs w:val="28"/>
        </w:rPr>
        <w:t xml:space="preserve">Состав жюри Конкурса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Для оценки конкурсных творческих работ формируется жюри Конкурса, в состав которого могут войти </w:t>
      </w:r>
      <w:r>
        <w:rPr>
          <w:rFonts w:ascii="Times New Roman" w:hAnsi="Times New Roman" w:cs="Times New Roman"/>
          <w:sz w:val="28"/>
          <w:szCs w:val="28"/>
        </w:rPr>
        <w:t xml:space="preserve">ведущие специалисты в области народного творчества, деятели искусства и культуры Ханты-Мансийского автономного округа – Югры, носители традиционной культуры обских угров,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представители общественных организаций,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Члены жюри оценивают работы участников по 10-бальной системе. Лучшие из них выявляются по общей сумме баллов. Решение жюри не обсуждается и пересмотру не подлежит.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Итогом обсуждения конкурсных работ является Протокол заседания, на основании которого производится награждение победителей.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Решение о награждении участников вносится в Протокол заседания жюри Конкурса и подписывается председателем и секретарём.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numPr>
          <w:ilvl w:val="1"/>
          <w:numId w:val="2"/>
        </w:num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 спорных ситуациях решающее слово остаётся</w:t>
        <w:br/>
        <w:t xml:space="preserve">за председателем жюри.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ind w:left="709" w:right="0" w:firstLine="0"/>
        <w:jc w:val="center"/>
        <w:spacing w:before="0" w:beforeAutospacing="0" w:after="0" w:afterAutospacing="0"/>
        <w:rPr>
          <w:rFonts w:ascii="Times New Roman" w:hAnsi="Times New Roman" w:eastAsia="MS Mincho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highlight w:val="none"/>
          <w:lang w:eastAsia="ja-JP"/>
        </w:rPr>
      </w:r>
      <w:r>
        <w:rPr>
          <w:rFonts w:ascii="Times New Roman" w:hAnsi="Times New Roman" w:eastAsia="MS Mincho" w:cs="Times New Roman"/>
          <w:b/>
          <w:sz w:val="28"/>
          <w:szCs w:val="28"/>
          <w:highlight w:val="none"/>
          <w:lang w:eastAsia="ja-JP"/>
        </w:rPr>
      </w:r>
    </w:p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Итоги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 итогам решения жюри участникам могут быть присвоены следующие звания в каждой возрастной категории: обладатель Гран-При, Лауреаты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степени, Дипломанты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Члены жюри могут учреждать дополнительные номинации.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По итогам Конкурса работы обладателя Гран-При и Лауреатов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 всех возрастн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ых категорий будут распечатаны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 виде почтовых открыток и отправлены почтой России во время празднования Окружного праздника коренных малочисленных народов Севера «Вороний день»</w:t>
        <w:br/>
        <w:t xml:space="preserve">в городе Ханты-Мансийске (4 апреля 2026 года). 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Обладатель Гран-При будет приглашён на Окружной фольклорный праздник коренных малочисленных на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родов Севера «Вороний день» в городе Ханты-Мансийске (4 апреля 2026 года)</w:t>
        <w:br/>
        <w:t xml:space="preserve">для торжественного вручения диплома и авторской открытки. Проживание, питание и трансфер по городу Ханты-Мансийску приглашённым победителям Конкурса (обладателю Гран-При и лауреатам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III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степени) осуществляется за счёт средств приглашающей стороны, транспортные расходы к месту проведения мероприятия – за счёт средств направляющей стороны.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Лауреаты </w:t>
      </w:r>
      <w:r>
        <w:rPr>
          <w:rFonts w:ascii="Times New Roman" w:hAnsi="Times New Roman" w:eastAsia="MS Mincho" w:cs="Times New Roman"/>
          <w:sz w:val="28"/>
          <w:szCs w:val="28"/>
          <w:lang w:val="en-US" w:eastAsia="ja-JP"/>
        </w:rPr>
        <w:t xml:space="preserve">I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 степени всех возрастных категорий будут награждены авторскими почтовыми открытками, которые будут направлены на домашний адрес участника Конкурса.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Все участники Конкурса награждаются памятными дипломами, которые будут направлены на электронную почту, указанную в заявке</w:t>
        <w:br/>
        <w:t xml:space="preserve">до 30 июня 2026 года.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MS Mincho" w:cs="Times New Roman"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sz w:val="28"/>
          <w:szCs w:val="28"/>
          <w:lang w:eastAsia="ja-JP"/>
        </w:rPr>
        <w:t xml:space="preserve">Итоги Конкурса размещаются на официальном сайте</w:t>
        <w:br/>
        <w:t xml:space="preserve">и в официальной группе ВКонтакте автономного учреждения</w:t>
        <w:br/>
        <w:t xml:space="preserve">Ханты-Мансийского автономного округа – Югры «Окружной Дом народного творчества».</w:t>
      </w:r>
      <w:r>
        <w:rPr>
          <w:rFonts w:ascii="Times New Roman" w:hAnsi="Times New Roman" w:eastAsia="MS Mincho" w:cs="Times New Roman"/>
          <w:sz w:val="28"/>
          <w:szCs w:val="28"/>
          <w:lang w:eastAsia="ja-JP"/>
        </w:rPr>
      </w:r>
    </w:p>
    <w:p>
      <w:pPr>
        <w:pStyle w:val="670"/>
        <w:numPr>
          <w:ilvl w:val="0"/>
          <w:numId w:val="2"/>
        </w:num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pP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  <w:t xml:space="preserve">Контакты</w:t>
      </w:r>
      <w:r>
        <w:rPr>
          <w:rFonts w:ascii="Times New Roman" w:hAnsi="Times New Roman" w:eastAsia="MS Mincho" w:cs="Times New Roman"/>
          <w:b/>
          <w:sz w:val="28"/>
          <w:szCs w:val="28"/>
          <w:lang w:eastAsia="ja-JP"/>
        </w:rPr>
      </w:r>
    </w:p>
    <w:p>
      <w:pPr>
        <w:pStyle w:val="670"/>
        <w:numPr>
          <w:ilvl w:val="1"/>
          <w:numId w:val="2"/>
        </w:numPr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Автономное учреждение Ханты-Мансийского автономного округа – Югры «Окружной Дом народного творчества» адрес:</w:t>
        <w:br/>
        <w:t xml:space="preserve">ул. Гагарина, д.10,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Ханты-Мансийск, Ханты-Мансийский автономный округ – Югра (Тюменская область), 628011, </w:t>
      </w:r>
      <w:r>
        <w:rPr>
          <w:rFonts w:ascii="Times New Roman" w:hAnsi="Times New Roman" w:cs="Times New Roman"/>
          <w:sz w:val="28"/>
          <w:szCs w:val="28"/>
        </w:rPr>
        <w:t xml:space="preserve">отдел национальных культур, Проняева Марина Анатольевна, 8 (3467) 32 15 62, e-mail: </w:t>
      </w:r>
      <w:hyperlink r:id="rId13" w:tooltip="mailto:onk@odntugra.ru" w:history="1"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onk</w:t>
        </w:r>
        <w:r>
          <w:rPr>
            <w:rStyle w:val="666"/>
            <w:rFonts w:ascii="Times New Roman" w:hAnsi="Times New Roman" w:cs="Times New Roman"/>
            <w:sz w:val="28"/>
            <w:szCs w:val="28"/>
          </w:rPr>
          <w:t xml:space="preserve">@odntugra.</w:t>
        </w:r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83"/>
        <w:jc w:val="right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83"/>
        <w:jc w:val="center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83"/>
        <w:jc w:val="center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1276" w:bottom="1134" w:left="1559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1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СОГЛАСИЕ</w:t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на обработку персональных данных для участия в Окружном конкурсе </w:t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на лучшую праздничную тематическую открытку «КАР-КАРД»</w:t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Я,_________________________________________________________________________________________,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(Ф.И.О. полностью, год рождения)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contextualSpacing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</w:t>
      </w:r>
      <w:hyperlink r:id="rId14" w:tooltip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w:history="1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со ст. 9</w:t>
        </w:r>
      </w:hyperlink>
      <w:r>
        <w:rPr>
          <w:rFonts w:ascii="Times New Roman" w:hAnsi="Times New Roman" w:eastAsia="Times New Roman" w:cs="Times New Roman"/>
          <w:sz w:val="20"/>
          <w:szCs w:val="20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center"/>
        <w:spacing w:after="12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целях моего участия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</w:t>
        <w:br/>
        <w:t xml:space="preserve">г. Ханты-Мансийск, ул. Гагарина, д. 10,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на осуществление любых действий в отношении моих персональных данных,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ицам - в соответствии с действующим законодательством), обезличивание, блокирование, а также осуществление любых иных действий</w:t>
        <w:br/>
        <w:t xml:space="preserve">с персональными данными, предусмотренных Федеральным законом Российской Федерации от 27.07.2006 № 152-ФЗ «О персональных данных».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Перечень моих персональных данных, на обработку которых я даю согласие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(нужное выбрать):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фамилия, имя, отчество;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паспортные данные (для размещения в гостинице)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возраст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проживания (район, населённый пункт);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учебы, работы, должность;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результат участия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положением о Конкурсе ознакомлен(а), порядок проведения и правила Конкурса мне понятны.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а), что вышеотмеченные персональные сведения обо мне могут быть переданы, по требованию,</w:t>
        <w:br/>
        <w:t xml:space="preserve">в государственные органы, в соответствии с действующим законодательством Российской Федерации, могут быть указаны в дипломах об участии в Конкурсе, могут быть размещен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и победителей Конкурса.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Настоящее согласие вступает в силу с момента его подписания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 может быть отозвано в любой момент</w:t>
        <w:br/>
        <w:t xml:space="preserve">по моему письменному заявлению.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120" w:line="240" w:lineRule="auto"/>
        <w:tabs>
          <w:tab w:val="left" w:pos="8931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«_____»______________ 20____ г</w:t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и Ф.И.О.  прописью полностью)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tabs>
          <w:tab w:val="left" w:pos="3283" w:leader="none"/>
        </w:tabs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*Заполняется каждым совершеннолетним участником (в том числе каждым участником коллектива),</w:t>
        <w:br/>
        <w:t xml:space="preserve">а также лицам, чьи данные указаны в заявке.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pStyle w:val="670"/>
        <w:jc w:val="both"/>
        <w:spacing w:after="120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*При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 и др.) необходимы для внутреннего использования и в открытом доступе размещаться не будут.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Приложение 2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родителя (законного представителя) несовершеннолетнего участника Окружного конкурса на лучшую праздничную тематическую открытку «КАР-КАРД» на обработку его персональных данных</w:t>
        <w:br/>
        <w:t xml:space="preserve">и персональных данных его ребенка (опекаемого)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Я,_________________________________________________________________________________________,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(Ф.И.О. полностью, год рождения)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со ст. 9 Федерального закона от 27.07.2006 № 152-ФЗ  «О персональных данных», зарегистрирован по адресу: ___________________________________________________________________________________________,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(ФИО ребенка (подопечного) полностью, год рождения)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целях участия моего ребёнка (опекаемого) в Конкурсе, даю согласие автон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омному учреждению</w:t>
        <w:br/>
        <w:t xml:space="preserve">Ханты-Мансийского автономного округа – Югры «Окружной Дом народного творчества», находящемуся</w:t>
        <w:br/>
        <w:t xml:space="preserve">по адресу: 628011, г. Ханты-Мансийск, ул. Гагарина, д. 10, на осуществление любых действий в отношении моих персональных данных и персональных д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 (нужное выбрать):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фамилия, имя, отчество;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паспортные данные (для размещения в гостинице)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возраст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проживания (район, населённый пункт);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место учебы, работы, должность;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контактные данные (телефон, электронная почта); 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 результат участия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положением о Конкурсе ознакомлен(а), порядок проведения и правила Конкурса мне понятны.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(опекаемом): «фамилия, имя, отчество, место проживания (регистрации) (индекс, город, район, улица, номер дома, номер квартиры), кантатные данные (телефон, электронная почта),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паспортные данные (серия, номер, кем и когда выдан) либо могут быть переданы, по требованию, в государственные органы, отвечающие за сбор, начисление и уплату налогов</w:t>
        <w:br/>
        <w:t xml:space="preserve">в бюджет, в соответствии с действующим налоговым законодательством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(опекаемом): «фамилия, имя, отчество, возрастная категория, название образовательной (культурно-досуговой) организации, результат участия» могут быть указаны в дипломах об участии в Конкурсе.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Я согласен(а), что следующие сведения о моем ребенке (опекае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мом): «фамилия, имя, отчество, возрастная категория, название образовательной (культурно-досуговой) организации, результат участия, фото-видеоматериалы могут быть размещены в печатных, электронных изданиях, в средствах массовой информации, на официальном 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айте Департамента культуры Ханты-Мансийского автономного</w:t>
        <w:br/>
        <w:t xml:space="preserve">округа – Югры,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и победителей Конкурса.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Настоящее согласие вступает в силу с момента его подписания и может быть отозвано в любой момент</w:t>
        <w:br/>
        <w:t xml:space="preserve">по моему письменному заявлению. 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«_____»_____________ 20____ г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 и Ф.И.О. прописью полностью)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* Заполняется родителем/законным представителем на себя и на несовершеннолетнего участника фестиваля (в том числе на каждого несовершеннолетнего участника коллектива).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* При размещении организаторами конкурсных работ в печатных, электронных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 изданиях, в средствах массовой информации, на официальном сайте Департамента культуры Ханты-Мансийского автономного округа – Югры, официальном сайте и социальных сетях АУ «Окружной Дом народного творчества» будут указаны только ФИО участника или название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 и в открытом доступе размещаться не будут.</w:t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i/>
          <w:sz w:val="20"/>
          <w:szCs w:val="20"/>
        </w:rPr>
      </w:r>
    </w:p>
    <w:p>
      <w:pPr>
        <w:pStyle w:val="670"/>
        <w:spacing w:after="120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B0609070205080204"/>
  </w:font>
  <w:font w:name="Calibri">
    <w:panose1 w:val="020F0502020204030204"/>
  </w:font>
  <w:font w:name="Segoe UI">
    <w:panose1 w:val="020B0502040204020203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2"/>
    <w:link w:val="66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0"/>
    <w:next w:val="66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0"/>
    <w:next w:val="66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0"/>
    <w:next w:val="66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0"/>
    <w:next w:val="66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0"/>
    <w:next w:val="66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0"/>
    <w:next w:val="66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0"/>
    <w:next w:val="66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0"/>
    <w:next w:val="66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60"/>
    <w:next w:val="66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2"/>
    <w:link w:val="35"/>
    <w:uiPriority w:val="10"/>
    <w:rPr>
      <w:sz w:val="48"/>
      <w:szCs w:val="48"/>
    </w:rPr>
  </w:style>
  <w:style w:type="paragraph" w:styleId="37">
    <w:name w:val="Subtitle"/>
    <w:basedOn w:val="660"/>
    <w:next w:val="66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2"/>
    <w:link w:val="37"/>
    <w:uiPriority w:val="11"/>
    <w:rPr>
      <w:sz w:val="24"/>
      <w:szCs w:val="24"/>
    </w:rPr>
  </w:style>
  <w:style w:type="paragraph" w:styleId="39">
    <w:name w:val="Quote"/>
    <w:basedOn w:val="660"/>
    <w:next w:val="66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0"/>
    <w:next w:val="66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62"/>
    <w:link w:val="43"/>
    <w:uiPriority w:val="99"/>
  </w:style>
  <w:style w:type="paragraph" w:styleId="45">
    <w:name w:val="Footer"/>
    <w:basedOn w:val="66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62"/>
    <w:link w:val="45"/>
    <w:uiPriority w:val="99"/>
  </w:style>
  <w:style w:type="paragraph" w:styleId="47">
    <w:name w:val="Caption"/>
    <w:basedOn w:val="660"/>
    <w:next w:val="66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2"/>
    <w:uiPriority w:val="99"/>
    <w:unhideWhenUsed/>
    <w:rPr>
      <w:vertAlign w:val="superscript"/>
    </w:rPr>
  </w:style>
  <w:style w:type="paragraph" w:styleId="179">
    <w:name w:val="endnote text"/>
    <w:basedOn w:val="66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2"/>
    <w:uiPriority w:val="99"/>
    <w:semiHidden/>
    <w:unhideWhenUsed/>
    <w:rPr>
      <w:vertAlign w:val="superscript"/>
    </w:rPr>
  </w:style>
  <w:style w:type="paragraph" w:styleId="182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61">
    <w:name w:val="Heading 1"/>
    <w:basedOn w:val="660"/>
    <w:next w:val="660"/>
    <w:link w:val="671"/>
    <w:qFormat/>
    <w:pPr>
      <w:keepNext/>
      <w:spacing w:after="0" w:line="360" w:lineRule="auto"/>
      <w:outlineLvl w:val="0"/>
    </w:pPr>
    <w:rPr>
      <w:rFonts w:ascii="Times New Roman" w:hAnsi="Times New Roman" w:eastAsia="Arial Unicode MS" w:cs="Times New Roman"/>
      <w:bCs/>
      <w:iCs/>
      <w:sz w:val="28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FollowedHyperlink"/>
    <w:basedOn w:val="662"/>
    <w:uiPriority w:val="99"/>
    <w:semiHidden/>
    <w:unhideWhenUsed/>
    <w:qFormat/>
    <w:rPr>
      <w:color w:val="800080"/>
      <w:u w:val="single"/>
    </w:rPr>
  </w:style>
  <w:style w:type="character" w:styleId="666">
    <w:name w:val="Hyperlink"/>
    <w:basedOn w:val="662"/>
    <w:uiPriority w:val="99"/>
    <w:qFormat/>
    <w:rPr>
      <w:color w:val="0000ff"/>
      <w:u w:val="single"/>
    </w:rPr>
  </w:style>
  <w:style w:type="paragraph" w:styleId="667">
    <w:name w:val="Balloon Text"/>
    <w:basedOn w:val="660"/>
    <w:link w:val="67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68">
    <w:name w:val="Body Text 3"/>
    <w:basedOn w:val="660"/>
    <w:link w:val="673"/>
    <w:qFormat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table" w:styleId="669">
    <w:name w:val="Table Grid"/>
    <w:basedOn w:val="663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70">
    <w:name w:val="No Spacing"/>
    <w:uiPriority w:val="1"/>
    <w:qFormat/>
    <w:rPr>
      <w:sz w:val="22"/>
      <w:szCs w:val="22"/>
    </w:rPr>
  </w:style>
  <w:style w:type="character" w:styleId="671" w:customStyle="1">
    <w:name w:val="Заголовок 1 Знак"/>
    <w:basedOn w:val="662"/>
    <w:link w:val="661"/>
    <w:qFormat/>
    <w:rPr>
      <w:rFonts w:ascii="Times New Roman" w:hAnsi="Times New Roman" w:eastAsia="Arial Unicode MS" w:cs="Times New Roman"/>
      <w:bCs/>
      <w:iCs/>
      <w:sz w:val="28"/>
    </w:rPr>
  </w:style>
  <w:style w:type="paragraph" w:styleId="672" w:customStyle="1">
    <w:name w:val="Абзац списка1"/>
    <w:basedOn w:val="660"/>
    <w:qFormat/>
    <w:pPr>
      <w:ind w:left="720"/>
    </w:pPr>
    <w:rPr>
      <w:rFonts w:ascii="Calibri" w:hAnsi="Calibri" w:eastAsia="Times New Roman" w:cs="Calibri"/>
    </w:rPr>
  </w:style>
  <w:style w:type="character" w:styleId="673" w:customStyle="1">
    <w:name w:val="Основной текст 3 Знак"/>
    <w:basedOn w:val="662"/>
    <w:link w:val="668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674">
    <w:name w:val="List Paragraph"/>
    <w:basedOn w:val="660"/>
    <w:uiPriority w:val="34"/>
    <w:qFormat/>
    <w:pPr>
      <w:contextualSpacing/>
      <w:ind w:left="720"/>
      <w:spacing w:before="240" w:after="0" w:line="240" w:lineRule="exact"/>
    </w:pPr>
    <w:rPr>
      <w:rFonts w:ascii="Times New Roman" w:hAnsi="Times New Roman" w:eastAsia="Calibri" w:cs="Times New Roman"/>
      <w:lang w:eastAsia="en-US"/>
    </w:rPr>
  </w:style>
  <w:style w:type="character" w:styleId="675" w:customStyle="1">
    <w:name w:val="Текст выноски Знак"/>
    <w:basedOn w:val="662"/>
    <w:link w:val="667"/>
    <w:uiPriority w:val="99"/>
    <w:semiHidden/>
    <w:qFormat/>
    <w:rPr>
      <w:rFonts w:ascii="Segoe UI" w:hAnsi="Segoe UI" w:cs="Segoe UI"/>
      <w:sz w:val="18"/>
      <w:szCs w:val="18"/>
    </w:rPr>
  </w:style>
  <w:style w:type="character" w:styleId="676" w:customStyle="1">
    <w:name w:val="Неразрешенное упоминание1"/>
    <w:basedOn w:val="662"/>
    <w:uiPriority w:val="99"/>
    <w:semiHidden/>
    <w:unhideWhenUsed/>
    <w:qFormat/>
    <w:rPr>
      <w:color w:val="605e5c"/>
      <w:shd w:val="clear" w:color="auto" w:fill="e1dfdd"/>
    </w:rPr>
  </w:style>
  <w:style w:type="character" w:styleId="677" w:customStyle="1">
    <w:name w:val="Неразрешенное упоминание2"/>
    <w:basedOn w:val="66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forms.yandex.ru/u/695267e4e010db4f82d7721b" TargetMode="External"/><Relationship Id="rId11" Type="http://schemas.openxmlformats.org/officeDocument/2006/relationships/hyperlink" Target="http://www.vk.com/odntugra86" TargetMode="External"/><Relationship Id="rId12" Type="http://schemas.openxmlformats.org/officeDocument/2006/relationships/hyperlink" Target="http://www.ok.ru/odntugra86" TargetMode="External"/><Relationship Id="rId13" Type="http://schemas.openxmlformats.org/officeDocument/2006/relationships/hyperlink" Target="mailto:onk@odntugra.ru" TargetMode="External"/><Relationship Id="rId14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B406-335A-47B0-AD10-64F91E5F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Чердынцева Инесса</dc:creator>
  <cp:lastModifiedBy>NosyrevaEA</cp:lastModifiedBy>
  <cp:revision>424</cp:revision>
  <dcterms:created xsi:type="dcterms:W3CDTF">2019-02-19T10:13:00Z</dcterms:created>
  <dcterms:modified xsi:type="dcterms:W3CDTF">2026-02-19T05:06:45Z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8A8B3BC31F644FC6B9A239C6B868E30A_12</vt:lpwstr>
  </property>
</Properties>
</file>