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31" w:rsidRDefault="00C04231" w:rsidP="000245B0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4</w:t>
      </w:r>
    </w:p>
    <w:p w:rsidR="00C04231" w:rsidRDefault="00C04231" w:rsidP="00C04231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CF49D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C04231" w:rsidRDefault="00C04231" w:rsidP="00C04231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C04231" w:rsidRDefault="00C04231" w:rsidP="00C04231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 № ______</w:t>
      </w:r>
      <w:bookmarkEnd w:id="0"/>
    </w:p>
    <w:p w:rsidR="00AB7455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C04231" w:rsidRDefault="00C04231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AB7455" w:rsidRPr="00E065F2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E065F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AB7455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B7455" w:rsidRPr="0087277D" w:rsidRDefault="00AB7455" w:rsidP="00AB7455">
      <w:pPr>
        <w:pStyle w:val="ConsPlusNonformat"/>
        <w:tabs>
          <w:tab w:val="left" w:pos="10348"/>
        </w:tabs>
        <w:ind w:left="10348" w:hanging="709"/>
        <w:rPr>
          <w:rFonts w:ascii="Times New Roman" w:hAnsi="Times New Roman" w:cs="Times New Roman"/>
          <w:szCs w:val="20"/>
        </w:rPr>
      </w:pPr>
      <w:r w:rsidRPr="0087277D">
        <w:rPr>
          <w:rFonts w:ascii="Times New Roman" w:hAnsi="Times New Roman" w:cs="Times New Roman"/>
          <w:szCs w:val="20"/>
        </w:rPr>
        <w:t xml:space="preserve">                        </w:t>
      </w:r>
      <w:r>
        <w:rPr>
          <w:rFonts w:ascii="Times New Roman" w:hAnsi="Times New Roman" w:cs="Times New Roman"/>
          <w:szCs w:val="20"/>
        </w:rPr>
        <w:t xml:space="preserve">                         </w:t>
      </w:r>
      <w:r w:rsidRPr="0087277D">
        <w:rPr>
          <w:rFonts w:ascii="Times New Roman" w:hAnsi="Times New Roman" w:cs="Times New Roman"/>
          <w:szCs w:val="20"/>
        </w:rPr>
        <w:t>(Ф.И.О.)</w:t>
      </w:r>
    </w:p>
    <w:p w:rsidR="00AB7455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B7455" w:rsidRPr="0087277D" w:rsidRDefault="00AB7455" w:rsidP="00AB7455">
      <w:pPr>
        <w:pStyle w:val="ConsPlusNonformat"/>
        <w:ind w:left="10348" w:firstLine="99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(д</w:t>
      </w:r>
      <w:r w:rsidRPr="0087277D">
        <w:rPr>
          <w:rFonts w:ascii="Times New Roman" w:hAnsi="Times New Roman" w:cs="Times New Roman"/>
          <w:szCs w:val="20"/>
        </w:rPr>
        <w:t>олжность</w:t>
      </w:r>
      <w:r>
        <w:rPr>
          <w:rFonts w:ascii="Times New Roman" w:hAnsi="Times New Roman" w:cs="Times New Roman"/>
          <w:szCs w:val="20"/>
        </w:rPr>
        <w:t>)</w:t>
      </w:r>
    </w:p>
    <w:p w:rsidR="00E065F2" w:rsidRPr="00E065F2" w:rsidRDefault="00E065F2" w:rsidP="00E065F2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F95AD3" w:rsidRDefault="000245B0" w:rsidP="000245B0">
      <w:pPr>
        <w:pStyle w:val="ConsPlusNonformat"/>
        <w:tabs>
          <w:tab w:val="left" w:pos="9519"/>
        </w:tabs>
        <w:jc w:val="both"/>
      </w:pPr>
      <w:r>
        <w:tab/>
      </w:r>
    </w:p>
    <w:p w:rsidR="00F95AD3" w:rsidRDefault="00F95AD3">
      <w:pPr>
        <w:pStyle w:val="ConsPlusNonformat"/>
        <w:jc w:val="both"/>
      </w:pPr>
    </w:p>
    <w:p w:rsidR="00F95AD3" w:rsidRPr="00AB7455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7455">
        <w:rPr>
          <w:rFonts w:ascii="Times New Roman" w:hAnsi="Times New Roman" w:cs="Times New Roman"/>
          <w:sz w:val="28"/>
          <w:szCs w:val="28"/>
        </w:rPr>
        <w:t>О</w:t>
      </w:r>
      <w:r w:rsidR="008C77B7">
        <w:rPr>
          <w:rFonts w:ascii="Times New Roman" w:hAnsi="Times New Roman" w:cs="Times New Roman"/>
          <w:sz w:val="28"/>
          <w:szCs w:val="28"/>
        </w:rPr>
        <w:t>тчет</w:t>
      </w:r>
    </w:p>
    <w:p w:rsidR="00842F69" w:rsidRPr="00AB7455" w:rsidRDefault="008C77B7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реализации</w:t>
      </w:r>
    </w:p>
    <w:p w:rsidR="00F95AD3" w:rsidRPr="00AB7455" w:rsidRDefault="008C77B7" w:rsidP="00B545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  <w:r w:rsidR="00C36C7B" w:rsidRPr="00AB7455">
        <w:rPr>
          <w:rFonts w:ascii="Times New Roman" w:hAnsi="Times New Roman" w:cs="Times New Roman"/>
          <w:sz w:val="28"/>
          <w:szCs w:val="28"/>
        </w:rPr>
        <w:t xml:space="preserve"> (с указанием типа</w:t>
      </w:r>
      <w:r w:rsidR="003D2105" w:rsidRPr="00AB7455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  <w:r w:rsidR="00C36C7B" w:rsidRPr="00AB745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95AD3" w:rsidRPr="00AB7455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7455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C36C7B" w:rsidRPr="00AB745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95AD3" w:rsidRPr="00AB7455" w:rsidRDefault="00F95AD3" w:rsidP="00842F69">
      <w:pPr>
        <w:pStyle w:val="ConsPlusNonformat"/>
        <w:jc w:val="center"/>
      </w:pPr>
      <w:r w:rsidRPr="00AB7455">
        <w:rPr>
          <w:rFonts w:ascii="Times New Roman" w:hAnsi="Times New Roman" w:cs="Times New Roman"/>
          <w:sz w:val="24"/>
          <w:szCs w:val="28"/>
        </w:rPr>
        <w:t xml:space="preserve">(наименование </w:t>
      </w:r>
      <w:r w:rsidR="00C36C7B" w:rsidRPr="00AB7455">
        <w:rPr>
          <w:rFonts w:ascii="Times New Roman" w:hAnsi="Times New Roman" w:cs="Times New Roman"/>
          <w:sz w:val="24"/>
          <w:szCs w:val="28"/>
        </w:rPr>
        <w:t>муниципального проекта</w:t>
      </w:r>
      <w:r w:rsidRPr="00AB7455">
        <w:rPr>
          <w:rFonts w:ascii="Times New Roman" w:hAnsi="Times New Roman" w:cs="Times New Roman"/>
          <w:sz w:val="24"/>
          <w:szCs w:val="28"/>
        </w:rPr>
        <w:t>)</w:t>
      </w:r>
    </w:p>
    <w:p w:rsidR="00F95AD3" w:rsidRPr="00AB7455" w:rsidRDefault="008C77B7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F95AD3" w:rsidRPr="00AB7455">
        <w:rPr>
          <w:rFonts w:ascii="Times New Roman" w:hAnsi="Times New Roman" w:cs="Times New Roman"/>
          <w:sz w:val="28"/>
          <w:szCs w:val="28"/>
        </w:rPr>
        <w:t xml:space="preserve"> </w:t>
      </w:r>
      <w:r w:rsidR="00C36C7B" w:rsidRPr="00AB7455">
        <w:rPr>
          <w:rFonts w:ascii="Times New Roman" w:hAnsi="Times New Roman" w:cs="Times New Roman"/>
          <w:szCs w:val="20"/>
        </w:rPr>
        <w:t>_________________________________________</w:t>
      </w:r>
    </w:p>
    <w:p w:rsidR="00F95AD3" w:rsidRPr="00AB7455" w:rsidRDefault="00C36C7B" w:rsidP="00E8232B">
      <w:pPr>
        <w:pStyle w:val="ConsPlusNonformat"/>
        <w:ind w:firstLine="5954"/>
        <w:rPr>
          <w:rFonts w:ascii="Times New Roman" w:hAnsi="Times New Roman" w:cs="Times New Roman"/>
          <w:sz w:val="18"/>
        </w:rPr>
      </w:pPr>
      <w:r w:rsidRPr="00AB7455">
        <w:rPr>
          <w:rFonts w:ascii="Times New Roman" w:hAnsi="Times New Roman" w:cs="Times New Roman"/>
          <w:sz w:val="28"/>
          <w:szCs w:val="28"/>
        </w:rPr>
        <w:t xml:space="preserve">    </w:t>
      </w:r>
      <w:r w:rsidR="00F95AD3" w:rsidRPr="00AB7455">
        <w:rPr>
          <w:rFonts w:ascii="Times New Roman" w:hAnsi="Times New Roman" w:cs="Times New Roman"/>
          <w:sz w:val="24"/>
          <w:szCs w:val="28"/>
        </w:rPr>
        <w:t>(отчетный период)</w:t>
      </w:r>
    </w:p>
    <w:p w:rsidR="00F95AD3" w:rsidRPr="00AB7455" w:rsidRDefault="00F95AD3" w:rsidP="00842F69">
      <w:pPr>
        <w:pStyle w:val="ConsPlusNonformat"/>
        <w:jc w:val="center"/>
        <w:rPr>
          <w:rFonts w:ascii="Times New Roman" w:hAnsi="Times New Roman" w:cs="Times New Roman"/>
        </w:rPr>
      </w:pPr>
    </w:p>
    <w:p w:rsidR="00C36C7B" w:rsidRPr="00AB7455" w:rsidRDefault="00F95AD3">
      <w:pPr>
        <w:pStyle w:val="ConsPlusNonformat"/>
        <w:jc w:val="both"/>
      </w:pPr>
      <w:r w:rsidRPr="00AB7455">
        <w:t xml:space="preserve">                        </w:t>
      </w: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04231" w:rsidRDefault="00C04231">
      <w:pPr>
        <w:pStyle w:val="ConsPlusNonformat"/>
        <w:jc w:val="both"/>
      </w:pPr>
    </w:p>
    <w:p w:rsidR="00C04231" w:rsidRDefault="00C04231">
      <w:pPr>
        <w:pStyle w:val="ConsPlusNonformat"/>
        <w:jc w:val="both"/>
      </w:pPr>
    </w:p>
    <w:p w:rsidR="00C04231" w:rsidRDefault="00C04231">
      <w:pPr>
        <w:pStyle w:val="ConsPlusNonformat"/>
        <w:jc w:val="both"/>
      </w:pPr>
    </w:p>
    <w:p w:rsidR="00F95AD3" w:rsidRPr="003D2105" w:rsidRDefault="00D810C5" w:rsidP="008C77B7">
      <w:pPr>
        <w:pStyle w:val="ConsPlusNonformat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5AD3" w:rsidRPr="00D810C5">
        <w:rPr>
          <w:rFonts w:ascii="Times New Roman" w:hAnsi="Times New Roman" w:cs="Times New Roman"/>
          <w:sz w:val="28"/>
          <w:szCs w:val="28"/>
        </w:rPr>
        <w:t>. Сведения о достижении показателей</w:t>
      </w:r>
      <w:r w:rsidR="00C36C7B">
        <w:rPr>
          <w:rFonts w:ascii="Times New Roman" w:hAnsi="Times New Roman" w:cs="Times New Roman"/>
          <w:sz w:val="28"/>
          <w:szCs w:val="28"/>
        </w:rPr>
        <w:t xml:space="preserve"> муниципального проекта (с указанием типа</w:t>
      </w:r>
      <w:r w:rsidR="003D2105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  <w:r w:rsidR="00C36C7B">
        <w:rPr>
          <w:rFonts w:ascii="Times New Roman" w:hAnsi="Times New Roman" w:cs="Times New Roman"/>
          <w:sz w:val="28"/>
          <w:szCs w:val="28"/>
        </w:rPr>
        <w:t>)</w:t>
      </w:r>
      <w:r w:rsidR="00FD1080">
        <w:rPr>
          <w:rFonts w:ascii="Times New Roman" w:hAnsi="Times New Roman" w:cs="Times New Roman"/>
          <w:sz w:val="28"/>
          <w:szCs w:val="28"/>
        </w:rPr>
        <w:t>.</w:t>
      </w:r>
      <w:r w:rsidR="00C36C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AD3" w:rsidRDefault="00F95AD3">
      <w:pPr>
        <w:pStyle w:val="ConsPlusNormal"/>
        <w:jc w:val="both"/>
      </w:pPr>
    </w:p>
    <w:tbl>
      <w:tblPr>
        <w:tblW w:w="151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418"/>
        <w:gridCol w:w="1135"/>
        <w:gridCol w:w="1133"/>
        <w:gridCol w:w="1134"/>
        <w:gridCol w:w="1134"/>
        <w:gridCol w:w="1276"/>
        <w:gridCol w:w="1701"/>
        <w:gridCol w:w="1275"/>
        <w:gridCol w:w="1275"/>
        <w:gridCol w:w="1425"/>
      </w:tblGrid>
      <w:tr w:rsidR="00C36C7B" w:rsidRPr="00C36C7B" w:rsidTr="00420445">
        <w:trPr>
          <w:trHeight w:val="812"/>
        </w:trPr>
        <w:tc>
          <w:tcPr>
            <w:tcW w:w="426" w:type="dxa"/>
            <w:tcMar>
              <w:top w:w="0" w:type="dxa"/>
              <w:bottom w:w="85" w:type="dxa"/>
            </w:tcMar>
          </w:tcPr>
          <w:p w:rsidR="00D77E67" w:rsidRPr="00C04231" w:rsidRDefault="00D77E67" w:rsidP="00D838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42" w:type="dxa"/>
            <w:tcMar>
              <w:top w:w="0" w:type="dxa"/>
              <w:bottom w:w="85" w:type="dxa"/>
            </w:tcMar>
          </w:tcPr>
          <w:p w:rsidR="00D77E67" w:rsidRPr="00C04231" w:rsidRDefault="00D77E67" w:rsidP="00C36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Статус фактического</w:t>
            </w:r>
            <w:r w:rsidR="00C36C7B" w:rsidRPr="00C0423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прогнозного значения за отчетный период</w:t>
            </w:r>
            <w:r w:rsidR="009D3666" w:rsidRP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Mar>
              <w:top w:w="0" w:type="dxa"/>
              <w:bottom w:w="85" w:type="dxa"/>
            </w:tcMar>
          </w:tcPr>
          <w:p w:rsidR="00D77E67" w:rsidRPr="00C04231" w:rsidRDefault="00D77E67" w:rsidP="009D36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5" w:type="dxa"/>
            <w:tcMar>
              <w:top w:w="0" w:type="dxa"/>
              <w:bottom w:w="85" w:type="dxa"/>
            </w:tcMar>
          </w:tcPr>
          <w:p w:rsidR="00D77E67" w:rsidRPr="00C04231" w:rsidRDefault="00D77E67" w:rsidP="009D36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3" w:type="dxa"/>
            <w:tcMar>
              <w:top w:w="0" w:type="dxa"/>
              <w:bottom w:w="85" w:type="dxa"/>
            </w:tcMar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</w:t>
            </w:r>
            <w:r w:rsid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1134" w:type="dxa"/>
            <w:tcMar>
              <w:top w:w="0" w:type="dxa"/>
              <w:bottom w:w="85" w:type="dxa"/>
            </w:tcMar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>
              <w:r w:rsidRPr="00C04231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Mar>
              <w:top w:w="0" w:type="dxa"/>
              <w:bottom w:w="85" w:type="dxa"/>
            </w:tcMar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  <w:r w:rsidR="009D3666" w:rsidRP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76" w:type="dxa"/>
            <w:tcMar>
              <w:top w:w="0" w:type="dxa"/>
              <w:bottom w:w="85" w:type="dxa"/>
            </w:tcMar>
          </w:tcPr>
          <w:p w:rsidR="00D77E67" w:rsidRPr="00C04231" w:rsidRDefault="00D77E67" w:rsidP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701" w:type="dxa"/>
            <w:tcMar>
              <w:top w:w="0" w:type="dxa"/>
              <w:bottom w:w="85" w:type="dxa"/>
            </w:tcMar>
          </w:tcPr>
          <w:p w:rsidR="00D77E67" w:rsidRPr="00C04231" w:rsidRDefault="00A73F6C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75" w:type="dxa"/>
            <w:tcMar>
              <w:top w:w="0" w:type="dxa"/>
              <w:bottom w:w="85" w:type="dxa"/>
            </w:tcMar>
          </w:tcPr>
          <w:p w:rsidR="00D77E67" w:rsidRPr="00C04231" w:rsidRDefault="00D77E67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</w:t>
            </w:r>
            <w:r w:rsidR="00A73F6C" w:rsidRPr="00C04231">
              <w:rPr>
                <w:rFonts w:ascii="Times New Roman" w:hAnsi="Times New Roman" w:cs="Times New Roman"/>
                <w:sz w:val="20"/>
                <w:szCs w:val="20"/>
              </w:rPr>
              <w:t>значение на конец текущего года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275" w:type="dxa"/>
            <w:tcMar>
              <w:top w:w="0" w:type="dxa"/>
              <w:bottom w:w="85" w:type="dxa"/>
            </w:tcMar>
          </w:tcPr>
          <w:p w:rsidR="00D77E67" w:rsidRPr="00C04231" w:rsidRDefault="00D77E67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  <w:r w:rsidR="00A73F6C"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текущего года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25" w:type="dxa"/>
            <w:tcMar>
              <w:top w:w="0" w:type="dxa"/>
              <w:bottom w:w="85" w:type="dxa"/>
            </w:tcMar>
          </w:tcPr>
          <w:p w:rsidR="00D77E67" w:rsidRPr="00C04231" w:rsidRDefault="00D77E67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36C7B" w:rsidRPr="00C36C7B" w:rsidTr="00420445">
        <w:trPr>
          <w:trHeight w:val="60"/>
        </w:trPr>
        <w:tc>
          <w:tcPr>
            <w:tcW w:w="426" w:type="dxa"/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D77E67" w:rsidRPr="00C04231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C042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D77E67" w:rsidRPr="00C04231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5" w:type="dxa"/>
          </w:tcPr>
          <w:p w:rsidR="00D77E67" w:rsidRPr="00C04231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C0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C2A85" w:rsidRPr="00C36C7B" w:rsidTr="00420445">
        <w:tc>
          <w:tcPr>
            <w:tcW w:w="426" w:type="dxa"/>
          </w:tcPr>
          <w:p w:rsidR="00DC2A85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48" w:type="dxa"/>
            <w:gridSpan w:val="11"/>
          </w:tcPr>
          <w:p w:rsidR="00DC2A85" w:rsidRPr="00C04231" w:rsidRDefault="00DC2A85" w:rsidP="00B545E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Задача муниципального проекта (с указанием типа) «Наименование</w:t>
            </w:r>
            <w:r w:rsidR="00AD1B08"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задачи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36C7B" w:rsidRPr="00C36C7B" w:rsidTr="00420445">
        <w:tc>
          <w:tcPr>
            <w:tcW w:w="426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842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C7B" w:rsidRPr="00C36C7B" w:rsidTr="00420445">
        <w:tc>
          <w:tcPr>
            <w:tcW w:w="426" w:type="dxa"/>
          </w:tcPr>
          <w:p w:rsidR="00D77E67" w:rsidRPr="00C04231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2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3666" w:rsidRDefault="009D3666" w:rsidP="009D3666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9D3666" w:rsidRDefault="009D3666" w:rsidP="009D3666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заполняется;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</w:t>
      </w:r>
      <w:r w:rsidRPr="00F54EAB">
        <w:rPr>
          <w:rFonts w:ascii="Times New Roman" w:hAnsi="Times New Roman" w:cs="Times New Roman"/>
        </w:rPr>
        <w:t>указыва</w:t>
      </w:r>
      <w:r>
        <w:rPr>
          <w:rFonts w:ascii="Times New Roman" w:hAnsi="Times New Roman" w:cs="Times New Roman"/>
        </w:rPr>
        <w:t>ются показатели, предусмотренные в паспорте муниципального проекта;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>
        <w:rPr>
          <w:rFonts w:ascii="Times New Roman" w:hAnsi="Times New Roman" w:cs="Times New Roman"/>
        </w:rPr>
        <w:t>муниципального проекта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2C4373">
        <w:rPr>
          <w:rFonts w:ascii="Times New Roman" w:hAnsi="Times New Roman" w:cs="Times New Roman"/>
        </w:rPr>
        <w:t>,</w:t>
      </w:r>
      <w:r w:rsidR="002C4373" w:rsidRPr="002C4373">
        <w:t xml:space="preserve"> </w:t>
      </w:r>
      <w:r w:rsidR="00C3623C" w:rsidRPr="00C3623C">
        <w:t>«</w:t>
      </w:r>
      <w:r w:rsidR="00C3623C" w:rsidRPr="00C3623C">
        <w:rPr>
          <w:rFonts w:ascii="Times New Roman" w:hAnsi="Times New Roman" w:cs="Times New Roman"/>
        </w:rPr>
        <w:t xml:space="preserve">СЭ» (структурный элемент), </w:t>
      </w:r>
      <w:r w:rsidR="002C4373" w:rsidRPr="002C4373">
        <w:rPr>
          <w:rFonts w:ascii="Times New Roman" w:hAnsi="Times New Roman" w:cs="Times New Roman"/>
        </w:rPr>
        <w:t>«ВДЛ» (показатели для оценки деяте</w:t>
      </w:r>
      <w:r w:rsidR="002C4373">
        <w:rPr>
          <w:rFonts w:ascii="Times New Roman" w:hAnsi="Times New Roman" w:cs="Times New Roman"/>
        </w:rPr>
        <w:t>льности высших должностных лиц)</w:t>
      </w:r>
      <w:r w:rsidRPr="00F54EAB">
        <w:rPr>
          <w:rFonts w:ascii="Times New Roman" w:hAnsi="Times New Roman" w:cs="Times New Roman"/>
        </w:rPr>
        <w:t>. Допускается установление одновременно нескольких уровней;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DF2137">
        <w:rPr>
          <w:rFonts w:ascii="Times New Roman" w:hAnsi="Times New Roman" w:cs="Times New Roman"/>
        </w:rPr>
        <w:t xml:space="preserve">казывается значение в соответствии со значением показателя, указанного в разделе </w:t>
      </w:r>
      <w:r>
        <w:rPr>
          <w:rFonts w:ascii="Times New Roman" w:hAnsi="Times New Roman" w:cs="Times New Roman"/>
        </w:rPr>
        <w:t>3</w:t>
      </w:r>
      <w:r w:rsidRPr="00DF2137">
        <w:rPr>
          <w:rFonts w:ascii="Times New Roman" w:hAnsi="Times New Roman" w:cs="Times New Roman"/>
        </w:rPr>
        <w:t xml:space="preserve"> «Помесячный план достижения показателей </w:t>
      </w:r>
      <w:r>
        <w:rPr>
          <w:rFonts w:ascii="Times New Roman" w:hAnsi="Times New Roman" w:cs="Times New Roman"/>
        </w:rPr>
        <w:t>муниципального проекта</w:t>
      </w:r>
      <w:r w:rsidRPr="00DF2137">
        <w:rPr>
          <w:rFonts w:ascii="Times New Roman" w:hAnsi="Times New Roman" w:cs="Times New Roman"/>
        </w:rPr>
        <w:t xml:space="preserve">» паспорта </w:t>
      </w:r>
      <w:r>
        <w:rPr>
          <w:rFonts w:ascii="Times New Roman" w:hAnsi="Times New Roman" w:cs="Times New Roman"/>
        </w:rPr>
        <w:t>муниципального проекта;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DF2137">
        <w:rPr>
          <w:rFonts w:ascii="Times New Roman" w:hAnsi="Times New Roman" w:cs="Times New Roman"/>
        </w:rPr>
        <w:t>указыва</w:t>
      </w:r>
      <w:r w:rsidR="00BC0E8F">
        <w:rPr>
          <w:rFonts w:ascii="Times New Roman" w:hAnsi="Times New Roman" w:cs="Times New Roman"/>
        </w:rPr>
        <w:t>ются</w:t>
      </w:r>
      <w:r w:rsidRPr="00DF2137">
        <w:rPr>
          <w:rFonts w:ascii="Times New Roman" w:hAnsi="Times New Roman" w:cs="Times New Roman"/>
        </w:rPr>
        <w:t xml:space="preserve"> вид подтверждающего документа, его реквизиты</w:t>
      </w:r>
      <w:r w:rsidRPr="007F601B">
        <w:rPr>
          <w:rFonts w:ascii="Times New Roman" w:hAnsi="Times New Roman" w:cs="Times New Roman"/>
        </w:rPr>
        <w:t>;</w:t>
      </w:r>
    </w:p>
    <w:p w:rsidR="009D3666" w:rsidRPr="00DF2137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="00FD1080"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 w:rsidRPr="00DF21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DF2137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 w:rsidR="00BF2965">
        <w:rPr>
          <w:rFonts w:ascii="Times New Roman" w:hAnsi="Times New Roman" w:cs="Times New Roman"/>
        </w:rPr>
        <w:t>муниципального проекта</w:t>
      </w:r>
      <w:r w:rsidRPr="00DF2137">
        <w:rPr>
          <w:rFonts w:ascii="Times New Roman" w:hAnsi="Times New Roman" w:cs="Times New Roman"/>
        </w:rPr>
        <w:t>;</w:t>
      </w:r>
    </w:p>
    <w:p w:rsidR="009D3666" w:rsidRPr="009169D9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9169D9">
        <w:rPr>
          <w:rFonts w:ascii="Times New Roman" w:hAnsi="Times New Roman" w:cs="Times New Roman"/>
        </w:rPr>
        <w:t>казываются:</w:t>
      </w:r>
    </w:p>
    <w:p w:rsidR="009D3666" w:rsidRPr="009169D9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причины отклонения фактического значения показателя от его планового знач</w:t>
      </w:r>
      <w:r>
        <w:rPr>
          <w:rFonts w:ascii="Times New Roman" w:hAnsi="Times New Roman" w:cs="Times New Roman"/>
        </w:rPr>
        <w:t>ения на конец отчетного периода;</w:t>
      </w:r>
    </w:p>
    <w:p w:rsidR="009D3666" w:rsidRPr="00836C21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 xml:space="preserve">- описание расчета показателей результатов реализации </w:t>
      </w:r>
      <w:r w:rsidR="00BF2965">
        <w:rPr>
          <w:rFonts w:ascii="Times New Roman" w:hAnsi="Times New Roman" w:cs="Times New Roman"/>
        </w:rPr>
        <w:t>муниципального проекта</w:t>
      </w:r>
      <w:r w:rsidRPr="009169D9">
        <w:rPr>
          <w:rFonts w:ascii="Times New Roman" w:hAnsi="Times New Roman" w:cs="Times New Roman"/>
        </w:rPr>
        <w:t>, значения которых исчисляются в относительном выражении, и исходные данные, используемые при расчете.</w:t>
      </w:r>
    </w:p>
    <w:p w:rsidR="00566B71" w:rsidRPr="00420445" w:rsidRDefault="00566B71" w:rsidP="00566B71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F95AD3" w:rsidRPr="00FD1080" w:rsidRDefault="00DC2A85" w:rsidP="00FD108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DC2A85">
        <w:rPr>
          <w:rFonts w:ascii="Times New Roman" w:hAnsi="Times New Roman" w:cs="Times New Roman"/>
          <w:sz w:val="28"/>
          <w:szCs w:val="28"/>
        </w:rPr>
        <w:t>2. Сведения о помесячном достижении показателей муниципального проекта (с указанием типа</w:t>
      </w:r>
      <w:r w:rsidR="003D2105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  <w:r w:rsidRPr="00DC2A85"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C2A85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4934" w:rsidRPr="00F049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D1080" w:rsidRPr="00FD1080">
        <w:rPr>
          <w:rFonts w:ascii="Times New Roman" w:hAnsi="Times New Roman" w:cs="Times New Roman"/>
          <w:sz w:val="28"/>
          <w:szCs w:val="28"/>
        </w:rPr>
        <w:t>.</w:t>
      </w:r>
    </w:p>
    <w:p w:rsidR="00F95AD3" w:rsidRPr="00DC2A85" w:rsidRDefault="00F95AD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829"/>
        <w:gridCol w:w="1134"/>
        <w:gridCol w:w="709"/>
        <w:gridCol w:w="851"/>
        <w:gridCol w:w="709"/>
        <w:gridCol w:w="850"/>
        <w:gridCol w:w="567"/>
        <w:gridCol w:w="709"/>
        <w:gridCol w:w="709"/>
        <w:gridCol w:w="708"/>
        <w:gridCol w:w="992"/>
        <w:gridCol w:w="850"/>
        <w:gridCol w:w="716"/>
        <w:gridCol w:w="1281"/>
      </w:tblGrid>
      <w:tr w:rsidR="00420445" w:rsidRPr="00420445" w:rsidTr="00420445">
        <w:trPr>
          <w:trHeight w:val="147"/>
        </w:trPr>
        <w:tc>
          <w:tcPr>
            <w:tcW w:w="561" w:type="dxa"/>
            <w:vMerge w:val="restart"/>
            <w:tcMar>
              <w:top w:w="0" w:type="dxa"/>
            </w:tcMar>
          </w:tcPr>
          <w:p w:rsid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  <w:vMerge w:val="restart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муниципального проекта </w:t>
            </w:r>
          </w:p>
          <w:p w:rsidR="00420445" w:rsidRPr="00420445" w:rsidRDefault="0042044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(с указанием типа муниципального проекта) </w:t>
            </w:r>
          </w:p>
        </w:tc>
        <w:tc>
          <w:tcPr>
            <w:tcW w:w="1134" w:type="dxa"/>
            <w:vMerge w:val="restart"/>
            <w:tcMar>
              <w:top w:w="0" w:type="dxa"/>
            </w:tcMar>
          </w:tcPr>
          <w:p w:rsidR="00420445" w:rsidRPr="00420445" w:rsidRDefault="00420445" w:rsidP="00F049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  <w:r w:rsidRPr="004204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70" w:type="dxa"/>
            <w:gridSpan w:val="11"/>
            <w:tcMar>
              <w:top w:w="0" w:type="dxa"/>
            </w:tcMar>
          </w:tcPr>
          <w:p w:rsidR="00420445" w:rsidRPr="00420445" w:rsidRDefault="00420445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81" w:type="dxa"/>
            <w:vMerge w:val="restart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На конец ____ года</w:t>
            </w:r>
          </w:p>
        </w:tc>
      </w:tr>
      <w:tr w:rsidR="00420445" w:rsidRPr="00420445" w:rsidTr="00420445">
        <w:trPr>
          <w:trHeight w:val="60"/>
        </w:trPr>
        <w:tc>
          <w:tcPr>
            <w:tcW w:w="561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851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0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567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16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281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455" w:rsidRPr="00420445" w:rsidTr="00420445">
        <w:tc>
          <w:tcPr>
            <w:tcW w:w="561" w:type="dxa"/>
          </w:tcPr>
          <w:p w:rsidR="00DC2A85" w:rsidRPr="00420445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D2105" w:rsidRPr="00420445" w:rsidTr="00420445">
        <w:tc>
          <w:tcPr>
            <w:tcW w:w="561" w:type="dxa"/>
          </w:tcPr>
          <w:p w:rsidR="003D2105" w:rsidRPr="00420445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14" w:type="dxa"/>
            <w:gridSpan w:val="14"/>
          </w:tcPr>
          <w:p w:rsidR="003D2105" w:rsidRPr="00420445" w:rsidRDefault="003D2105" w:rsidP="00644F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задачи муниципального проекта </w:t>
            </w:r>
          </w:p>
        </w:tc>
      </w:tr>
      <w:tr w:rsidR="00DC2A85" w:rsidRPr="00420445" w:rsidTr="00420445">
        <w:tc>
          <w:tcPr>
            <w:tcW w:w="561" w:type="dxa"/>
            <w:vMerge w:val="restart"/>
          </w:tcPr>
          <w:p w:rsidR="00DC2A85" w:rsidRPr="00420445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105" w:rsidRPr="0042044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614" w:type="dxa"/>
            <w:gridSpan w:val="14"/>
          </w:tcPr>
          <w:p w:rsidR="00DC2A85" w:rsidRPr="00420445" w:rsidRDefault="00DC2A85" w:rsidP="00644F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="003D2105"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проекта </w:t>
            </w:r>
          </w:p>
        </w:tc>
      </w:tr>
      <w:tr w:rsidR="00AB7455" w:rsidRPr="00420445" w:rsidTr="00420445">
        <w:tc>
          <w:tcPr>
            <w:tcW w:w="561" w:type="dxa"/>
            <w:vMerge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455" w:rsidRPr="00420445" w:rsidTr="00420445">
        <w:tc>
          <w:tcPr>
            <w:tcW w:w="561" w:type="dxa"/>
            <w:vMerge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Факт/прогноз</w:t>
            </w:r>
          </w:p>
        </w:tc>
        <w:tc>
          <w:tcPr>
            <w:tcW w:w="1134" w:type="dxa"/>
            <w:vMerge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455" w:rsidRPr="00420445" w:rsidTr="00420445">
        <w:tc>
          <w:tcPr>
            <w:tcW w:w="561" w:type="dxa"/>
          </w:tcPr>
          <w:p w:rsidR="00DC2A85" w:rsidRPr="00420445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2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4934" w:rsidRPr="00836C21" w:rsidRDefault="00F04934" w:rsidP="00C04231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lastRenderedPageBreak/>
        <w:t>Примечания:</w:t>
      </w:r>
    </w:p>
    <w:p w:rsidR="00F04934" w:rsidRDefault="00F04934" w:rsidP="00F04934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C60D73" w:rsidRPr="00C60D7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1A284F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>
        <w:rPr>
          <w:rFonts w:ascii="Times New Roman" w:hAnsi="Times New Roman" w:cs="Times New Roman"/>
        </w:rPr>
        <w:t>муниципального проекта;</w:t>
      </w:r>
    </w:p>
    <w:p w:rsidR="00F04934" w:rsidRDefault="00F04934" w:rsidP="00F04934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F54EAB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C60D73" w:rsidRPr="00C60D7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 w:rsidR="00970AC2">
        <w:rPr>
          <w:rFonts w:ascii="Times New Roman" w:hAnsi="Times New Roman" w:cs="Times New Roman"/>
        </w:rPr>
        <w:t>муниципального проекта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2C4373">
        <w:rPr>
          <w:rFonts w:ascii="Times New Roman" w:hAnsi="Times New Roman" w:cs="Times New Roman"/>
        </w:rPr>
        <w:t xml:space="preserve">, </w:t>
      </w:r>
      <w:r w:rsidR="00C3623C" w:rsidRPr="00C3623C">
        <w:rPr>
          <w:rFonts w:ascii="Times New Roman" w:hAnsi="Times New Roman" w:cs="Times New Roman"/>
        </w:rPr>
        <w:t xml:space="preserve">«СЭ» (структурный элемент), </w:t>
      </w:r>
      <w:r w:rsidR="002C4373">
        <w:rPr>
          <w:rFonts w:ascii="Times New Roman" w:hAnsi="Times New Roman" w:cs="Times New Roman"/>
        </w:rPr>
        <w:t xml:space="preserve">«ВДЛ» (показатели для оценки деятельности высших должностных лиц). </w:t>
      </w:r>
      <w:r w:rsidRPr="00F54EAB">
        <w:rPr>
          <w:rFonts w:ascii="Times New Roman" w:hAnsi="Times New Roman" w:cs="Times New Roman"/>
        </w:rPr>
        <w:t xml:space="preserve">Допускается установление </w:t>
      </w:r>
      <w:r>
        <w:rPr>
          <w:rFonts w:ascii="Times New Roman" w:hAnsi="Times New Roman" w:cs="Times New Roman"/>
        </w:rPr>
        <w:t>одновременно нескольких уровней.</w:t>
      </w:r>
    </w:p>
    <w:p w:rsidR="00692D88" w:rsidRDefault="00692D88" w:rsidP="003E42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2105" w:rsidRPr="00411371" w:rsidRDefault="003D2105" w:rsidP="00FD108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D2105">
        <w:rPr>
          <w:rFonts w:ascii="Times New Roman" w:hAnsi="Times New Roman" w:cs="Times New Roman"/>
          <w:sz w:val="28"/>
          <w:szCs w:val="28"/>
        </w:rPr>
        <w:t xml:space="preserve">. </w:t>
      </w:r>
      <w:r w:rsidR="00411371" w:rsidRPr="00411371">
        <w:rPr>
          <w:rFonts w:ascii="Times New Roman" w:hAnsi="Times New Roman" w:cs="Times New Roman"/>
          <w:sz w:val="28"/>
          <w:szCs w:val="28"/>
        </w:rPr>
        <w:t xml:space="preserve">Сведения о выполнении (достижении) мероприятий (результатов) и контрольных точек муниципального проекта </w:t>
      </w:r>
      <w:r w:rsidR="00BE7FD9" w:rsidRPr="00411371">
        <w:rPr>
          <w:rFonts w:ascii="Times New Roman" w:hAnsi="Times New Roman" w:cs="Times New Roman"/>
          <w:sz w:val="28"/>
          <w:szCs w:val="28"/>
        </w:rPr>
        <w:t>(с</w:t>
      </w:r>
      <w:r w:rsidR="00411371">
        <w:rPr>
          <w:rFonts w:ascii="Times New Roman" w:hAnsi="Times New Roman" w:cs="Times New Roman"/>
          <w:sz w:val="28"/>
          <w:szCs w:val="28"/>
        </w:rPr>
        <w:t xml:space="preserve"> </w:t>
      </w:r>
      <w:r w:rsidR="00BE7FD9" w:rsidRPr="00411371">
        <w:rPr>
          <w:rFonts w:ascii="Times New Roman" w:hAnsi="Times New Roman" w:cs="Times New Roman"/>
          <w:sz w:val="28"/>
          <w:szCs w:val="28"/>
        </w:rPr>
        <w:t>указанием типа муниципального проекта)</w:t>
      </w:r>
      <w:r w:rsidR="00D07C8D">
        <w:rPr>
          <w:rFonts w:ascii="Times New Roman" w:hAnsi="Times New Roman" w:cs="Times New Roman"/>
          <w:sz w:val="28"/>
          <w:szCs w:val="28"/>
        </w:rPr>
        <w:t>.</w:t>
      </w:r>
    </w:p>
    <w:p w:rsidR="00AB7455" w:rsidRPr="003D2105" w:rsidRDefault="00AB7455" w:rsidP="003E42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0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1700"/>
        <w:gridCol w:w="1134"/>
        <w:gridCol w:w="1233"/>
        <w:gridCol w:w="1319"/>
        <w:gridCol w:w="1240"/>
        <w:gridCol w:w="744"/>
        <w:gridCol w:w="709"/>
        <w:gridCol w:w="567"/>
        <w:gridCol w:w="709"/>
        <w:gridCol w:w="852"/>
        <w:gridCol w:w="1418"/>
        <w:gridCol w:w="1700"/>
        <w:gridCol w:w="1275"/>
      </w:tblGrid>
      <w:tr w:rsidR="004842E5" w:rsidRPr="004842E5" w:rsidTr="00420445">
        <w:tc>
          <w:tcPr>
            <w:tcW w:w="568" w:type="dxa"/>
            <w:vMerge w:val="restart"/>
            <w:tcMar>
              <w:top w:w="0" w:type="dxa"/>
            </w:tcMar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Mar>
              <w:top w:w="0" w:type="dxa"/>
            </w:tcMar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мер</w:t>
            </w:r>
            <w:r w:rsidR="00C04231">
              <w:rPr>
                <w:rFonts w:ascii="Times New Roman" w:hAnsi="Times New Roman" w:cs="Times New Roman"/>
                <w:sz w:val="20"/>
                <w:szCs w:val="20"/>
              </w:rPr>
              <w:t>оприятия (результата)/ объекта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/ контрольной точки</w:t>
            </w:r>
          </w:p>
        </w:tc>
        <w:tc>
          <w:tcPr>
            <w:tcW w:w="1134" w:type="dxa"/>
            <w:vMerge w:val="restart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8">
              <w:r w:rsidRPr="00C04231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33" w:type="dxa"/>
            <w:vMerge w:val="restart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319" w:type="dxa"/>
            <w:vMerge w:val="restart"/>
            <w:tcMar>
              <w:top w:w="0" w:type="dxa"/>
            </w:tcMar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на конец отчетного периода </w:t>
            </w:r>
          </w:p>
        </w:tc>
        <w:tc>
          <w:tcPr>
            <w:tcW w:w="1240" w:type="dxa"/>
            <w:vMerge w:val="restart"/>
            <w:tcMar>
              <w:top w:w="0" w:type="dxa"/>
            </w:tcMar>
          </w:tcPr>
          <w:p w:rsidR="004842E5" w:rsidRPr="00C04231" w:rsidRDefault="004842E5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  <w:r w:rsidR="00644FCF"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текущего года</w:t>
            </w:r>
            <w:r w:rsidR="003B4D22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53" w:type="dxa"/>
            <w:gridSpan w:val="2"/>
            <w:tcMar>
              <w:top w:w="0" w:type="dxa"/>
            </w:tcMar>
          </w:tcPr>
          <w:p w:rsidR="004842E5" w:rsidRPr="00C04231" w:rsidRDefault="004842E5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мероприятия (результата)</w:t>
            </w:r>
            <w:r w:rsidR="003B4D22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8" w:type="dxa"/>
            <w:gridSpan w:val="3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418" w:type="dxa"/>
            <w:vMerge w:val="restart"/>
            <w:tcMar>
              <w:top w:w="0" w:type="dxa"/>
            </w:tcMar>
          </w:tcPr>
          <w:p w:rsidR="004842E5" w:rsidRPr="00C04231" w:rsidRDefault="004842E5" w:rsidP="007F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</w:t>
            </w:r>
            <w:r w:rsidR="007F4C66" w:rsidRPr="00C042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И.О., должность)</w:t>
            </w:r>
          </w:p>
        </w:tc>
        <w:tc>
          <w:tcPr>
            <w:tcW w:w="1700" w:type="dxa"/>
            <w:vMerge w:val="restart"/>
            <w:tcMar>
              <w:top w:w="0" w:type="dxa"/>
            </w:tcMar>
          </w:tcPr>
          <w:p w:rsidR="004842E5" w:rsidRPr="00C04231" w:rsidRDefault="00644FCF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3B4D22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vMerge w:val="restart"/>
            <w:tcMar>
              <w:top w:w="0" w:type="dxa"/>
            </w:tcMar>
          </w:tcPr>
          <w:p w:rsidR="004842E5" w:rsidRPr="00C04231" w:rsidRDefault="00644FCF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3B4D22" w:rsidRPr="00C04231">
              <w:rPr>
                <w:sz w:val="20"/>
                <w:szCs w:val="20"/>
                <w:vertAlign w:val="superscript"/>
              </w:rPr>
              <w:t>4</w:t>
            </w:r>
          </w:p>
        </w:tc>
      </w:tr>
      <w:tr w:rsidR="004842E5" w:rsidRPr="004842E5" w:rsidTr="00420445">
        <w:tc>
          <w:tcPr>
            <w:tcW w:w="568" w:type="dxa"/>
            <w:vMerge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Merge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567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2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3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316"/>
            <w:bookmarkEnd w:id="2"/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317"/>
            <w:bookmarkEnd w:id="3"/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4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0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0" w:type="dxa"/>
            <w:gridSpan w:val="13"/>
          </w:tcPr>
          <w:p w:rsidR="004842E5" w:rsidRPr="00C04231" w:rsidRDefault="004842E5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муниципального проекта</w:t>
            </w: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700" w:type="dxa"/>
          </w:tcPr>
          <w:p w:rsidR="004842E5" w:rsidRPr="00C04231" w:rsidRDefault="004842E5" w:rsidP="00F67E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Меропри</w:t>
            </w:r>
            <w:r w:rsidR="00644FCF" w:rsidRPr="00C04231">
              <w:rPr>
                <w:rFonts w:ascii="Times New Roman" w:hAnsi="Times New Roman" w:cs="Times New Roman"/>
                <w:sz w:val="20"/>
                <w:szCs w:val="20"/>
              </w:rPr>
              <w:t>ятие (результат) «Наименование»</w:t>
            </w:r>
            <w:r w:rsidR="00F67E1E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4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К.1</w:t>
            </w:r>
          </w:p>
        </w:tc>
        <w:tc>
          <w:tcPr>
            <w:tcW w:w="1700" w:type="dxa"/>
          </w:tcPr>
          <w:p w:rsidR="004842E5" w:rsidRPr="00C04231" w:rsidRDefault="004842E5" w:rsidP="00F67E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F67E1E" w:rsidRPr="00C0423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67E1E" w:rsidRPr="00C042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4D22" w:rsidRPr="00836C21" w:rsidRDefault="003B4D22" w:rsidP="00C04231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1A284F">
        <w:rPr>
          <w:rFonts w:ascii="Times New Roman" w:hAnsi="Times New Roman" w:cs="Times New Roman"/>
        </w:rPr>
        <w:t>казанн</w:t>
      </w:r>
      <w:r>
        <w:rPr>
          <w:rFonts w:ascii="Times New Roman" w:hAnsi="Times New Roman" w:cs="Times New Roman"/>
        </w:rPr>
        <w:t>ая</w:t>
      </w:r>
      <w:r w:rsidRPr="001A28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графа</w:t>
      </w:r>
      <w:r w:rsidRPr="001A284F">
        <w:rPr>
          <w:rFonts w:ascii="Times New Roman" w:hAnsi="Times New Roman" w:cs="Times New Roman"/>
        </w:rPr>
        <w:t xml:space="preserve"> не формируется в рамках годового отчета о ходе реализации </w:t>
      </w:r>
      <w:r>
        <w:rPr>
          <w:rFonts w:ascii="Times New Roman" w:hAnsi="Times New Roman" w:cs="Times New Roman"/>
        </w:rPr>
        <w:t>муниципального проекта;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F54EAB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указывается</w:t>
      </w:r>
      <w:r w:rsidRPr="000042B2">
        <w:rPr>
          <w:rFonts w:ascii="Times New Roman" w:hAnsi="Times New Roman" w:cs="Times New Roman"/>
        </w:rPr>
        <w:t xml:space="preserve"> </w:t>
      </w:r>
      <w:r w:rsidRPr="003B4D22">
        <w:rPr>
          <w:rFonts w:ascii="Times New Roman" w:hAnsi="Times New Roman" w:cs="Times New Roman"/>
        </w:rPr>
        <w:t>количество объектов, в отношении которых реализуется мероприятие (результат);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указыва</w:t>
      </w:r>
      <w:r w:rsidR="007333D9">
        <w:rPr>
          <w:rFonts w:ascii="Times New Roman" w:hAnsi="Times New Roman" w:cs="Times New Roman"/>
        </w:rPr>
        <w:t>ются</w:t>
      </w:r>
      <w:r w:rsidRPr="000042B2">
        <w:rPr>
          <w:rFonts w:ascii="Times New Roman" w:hAnsi="Times New Roman" w:cs="Times New Roman"/>
        </w:rPr>
        <w:t xml:space="preserve"> вид подтверждающего документа, его реквизиты</w:t>
      </w:r>
      <w:r w:rsidRPr="00F54EAB">
        <w:rPr>
          <w:rFonts w:ascii="Times New Roman" w:hAnsi="Times New Roman" w:cs="Times New Roman"/>
        </w:rPr>
        <w:t>;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0042B2">
        <w:rPr>
          <w:rFonts w:ascii="Times New Roman" w:hAnsi="Times New Roman" w:cs="Times New Roman"/>
        </w:rPr>
        <w:t xml:space="preserve">казываются причины отклонения фактического показателя от его планового значения </w:t>
      </w:r>
      <w:r w:rsidR="000B5C24" w:rsidRPr="000B5C24">
        <w:rPr>
          <w:rFonts w:ascii="Times New Roman" w:hAnsi="Times New Roman" w:cs="Times New Roman"/>
        </w:rPr>
        <w:t>(заполняется в случае, если отклонение составило более 5%);</w:t>
      </w:r>
    </w:p>
    <w:p w:rsidR="00692D88" w:rsidRDefault="00F67E1E" w:rsidP="003250BE">
      <w:pPr>
        <w:pStyle w:val="a4"/>
        <w:ind w:right="-73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>5</w:t>
      </w:r>
      <w:r w:rsidR="00D07C8D">
        <w:rPr>
          <w:rFonts w:ascii="Times New Roman" w:hAnsi="Times New Roman" w:cs="Times New Roman"/>
          <w:vertAlign w:val="superscript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 w:rsidR="003B4D22">
        <w:rPr>
          <w:rFonts w:ascii="Times New Roman" w:hAnsi="Times New Roman" w:cs="Times New Roman"/>
        </w:rPr>
        <w:t xml:space="preserve"> у</w:t>
      </w:r>
      <w:r w:rsidR="003B4D22" w:rsidRPr="000042B2">
        <w:rPr>
          <w:rFonts w:ascii="Times New Roman" w:hAnsi="Times New Roman" w:cs="Times New Roman"/>
        </w:rPr>
        <w:t xml:space="preserve">казываются мероприятия (результаты), предусмотренные паспортом </w:t>
      </w:r>
      <w:r w:rsidR="003B4D22">
        <w:rPr>
          <w:rFonts w:ascii="Times New Roman" w:hAnsi="Times New Roman" w:cs="Times New Roman"/>
        </w:rPr>
        <w:t>муниципального проекта</w:t>
      </w:r>
      <w:r w:rsidR="003B4D22" w:rsidRPr="000042B2">
        <w:rPr>
          <w:rFonts w:ascii="Times New Roman" w:hAnsi="Times New Roman" w:cs="Times New Roman"/>
        </w:rPr>
        <w:t xml:space="preserve">. </w:t>
      </w:r>
    </w:p>
    <w:p w:rsidR="003B4D22" w:rsidRDefault="003B4D22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97303" w:rsidRPr="00497303" w:rsidRDefault="00497303" w:rsidP="00C60D73">
      <w:pPr>
        <w:pStyle w:val="ConsPlusNonformat"/>
        <w:ind w:firstLine="709"/>
        <w:rPr>
          <w:rFonts w:ascii="Times New Roman" w:hAnsi="Times New Roman" w:cs="Times New Roman"/>
          <w:sz w:val="28"/>
          <w:szCs w:val="24"/>
        </w:rPr>
      </w:pPr>
      <w:r w:rsidRPr="00497303">
        <w:rPr>
          <w:rFonts w:ascii="Times New Roman" w:hAnsi="Times New Roman" w:cs="Times New Roman"/>
          <w:sz w:val="28"/>
          <w:szCs w:val="24"/>
        </w:rPr>
        <w:lastRenderedPageBreak/>
        <w:t xml:space="preserve">4. Сведения об исполнении </w:t>
      </w:r>
      <w:r>
        <w:rPr>
          <w:rFonts w:ascii="Times New Roman" w:hAnsi="Times New Roman" w:cs="Times New Roman"/>
          <w:sz w:val="28"/>
          <w:szCs w:val="24"/>
        </w:rPr>
        <w:t>бюджетных ассигнований, предусмотренных на финансовое обеспечение реализации муниципального проекта (с указанием типа муниципального проекта)</w:t>
      </w:r>
      <w:r w:rsidR="00D07C8D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497303" w:rsidRPr="00497303" w:rsidRDefault="00497303" w:rsidP="004973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6"/>
        <w:gridCol w:w="1417"/>
        <w:gridCol w:w="1276"/>
        <w:gridCol w:w="1559"/>
        <w:gridCol w:w="1418"/>
        <w:gridCol w:w="1559"/>
        <w:gridCol w:w="1427"/>
      </w:tblGrid>
      <w:tr w:rsidR="0051773B" w:rsidRPr="0051773B" w:rsidTr="00C04231">
        <w:tc>
          <w:tcPr>
            <w:tcW w:w="6516" w:type="dxa"/>
            <w:vMerge w:val="restart"/>
            <w:tcMar>
              <w:top w:w="0" w:type="dxa"/>
            </w:tcMar>
          </w:tcPr>
          <w:p w:rsidR="0051773B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2693" w:type="dxa"/>
            <w:gridSpan w:val="2"/>
            <w:shd w:val="clear" w:color="auto" w:fill="auto"/>
            <w:tcMar>
              <w:top w:w="0" w:type="dxa"/>
            </w:tcMar>
          </w:tcPr>
          <w:p w:rsidR="0051773B" w:rsidRPr="00C04231" w:rsidRDefault="0051773B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рублей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</w:tcMar>
          </w:tcPr>
          <w:p w:rsidR="0051773B" w:rsidRPr="00C04231" w:rsidRDefault="0051773B" w:rsidP="005177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Исполнение, рублей</w:t>
            </w:r>
          </w:p>
        </w:tc>
        <w:tc>
          <w:tcPr>
            <w:tcW w:w="1559" w:type="dxa"/>
            <w:vMerge w:val="restart"/>
            <w:tcMar>
              <w:top w:w="0" w:type="dxa"/>
            </w:tcMar>
          </w:tcPr>
          <w:p w:rsidR="0051773B" w:rsidRPr="00C04231" w:rsidRDefault="00A31BDA" w:rsidP="00A31B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</w:t>
            </w:r>
            <w:r w:rsidR="002665BE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51773B"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vMerge w:val="restart"/>
            <w:tcMar>
              <w:top w:w="0" w:type="dxa"/>
            </w:tcMar>
          </w:tcPr>
          <w:p w:rsidR="0051773B" w:rsidRPr="00C04231" w:rsidRDefault="0051773B" w:rsidP="002665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2665BE" w:rsidRPr="00C04231">
              <w:rPr>
                <w:rStyle w:val="a6"/>
                <w:sz w:val="20"/>
                <w:szCs w:val="20"/>
              </w:rPr>
              <w:t>2</w:t>
            </w:r>
          </w:p>
        </w:tc>
      </w:tr>
      <w:tr w:rsidR="0051773B" w:rsidRPr="0051773B" w:rsidTr="00420445">
        <w:trPr>
          <w:trHeight w:val="673"/>
        </w:trPr>
        <w:tc>
          <w:tcPr>
            <w:tcW w:w="6516" w:type="dxa"/>
            <w:vMerge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0" w:type="dxa"/>
            </w:tcMar>
          </w:tcPr>
          <w:p w:rsidR="0051773B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Предусмотрено паспортом</w:t>
            </w:r>
          </w:p>
        </w:tc>
        <w:tc>
          <w:tcPr>
            <w:tcW w:w="1276" w:type="dxa"/>
            <w:tcMar>
              <w:top w:w="0" w:type="dxa"/>
            </w:tcMar>
          </w:tcPr>
          <w:p w:rsidR="0051773B" w:rsidRPr="00C04231" w:rsidRDefault="0051773B" w:rsidP="002665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Сводная бюджетная роспись </w:t>
            </w:r>
          </w:p>
        </w:tc>
        <w:tc>
          <w:tcPr>
            <w:tcW w:w="1559" w:type="dxa"/>
            <w:tcMar>
              <w:top w:w="0" w:type="dxa"/>
            </w:tcMar>
          </w:tcPr>
          <w:p w:rsidR="0051773B" w:rsidRPr="00C04231" w:rsidRDefault="0051773B" w:rsidP="002665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бюджетные обязательства </w:t>
            </w:r>
          </w:p>
        </w:tc>
        <w:tc>
          <w:tcPr>
            <w:tcW w:w="1418" w:type="dxa"/>
            <w:tcMar>
              <w:top w:w="0" w:type="dxa"/>
            </w:tcMar>
          </w:tcPr>
          <w:p w:rsidR="0051773B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</w:tcPr>
          <w:p w:rsidR="00497303" w:rsidRPr="00C04231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97303" w:rsidRPr="00C04231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97303" w:rsidRPr="00C04231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97303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497303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97303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3" w:type="dxa"/>
          </w:tcPr>
          <w:p w:rsidR="00497303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773B" w:rsidRPr="0051773B" w:rsidTr="00C04231">
        <w:tc>
          <w:tcPr>
            <w:tcW w:w="15172" w:type="dxa"/>
            <w:gridSpan w:val="7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муниципального проекта, всего:</w:t>
            </w: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497303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«Наименование» (всего), в том числе</w:t>
            </w:r>
          </w:p>
        </w:tc>
        <w:tc>
          <w:tcPr>
            <w:tcW w:w="1417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</w:t>
            </w:r>
          </w:p>
        </w:tc>
        <w:tc>
          <w:tcPr>
            <w:tcW w:w="1417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497303" w:rsidRPr="00C04231" w:rsidRDefault="0051773B" w:rsidP="002665B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7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497303" w:rsidRPr="00C04231" w:rsidRDefault="0051773B" w:rsidP="002665BE">
            <w:pPr>
              <w:pStyle w:val="ConsPlusNormal"/>
              <w:ind w:left="224" w:firstLine="59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417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497303" w:rsidRPr="00C04231" w:rsidRDefault="0051773B" w:rsidP="00977C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7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center"/>
          </w:tcPr>
          <w:p w:rsidR="00497303" w:rsidRPr="00C04231" w:rsidRDefault="0051773B" w:rsidP="002665B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97303" w:rsidRPr="00C04231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</w:t>
            </w:r>
            <w:r w:rsidR="002665BE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97303" w:rsidRPr="00C04231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97303" w:rsidRPr="00C04231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C04231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center"/>
          </w:tcPr>
          <w:p w:rsidR="0051773B" w:rsidRPr="00C04231" w:rsidRDefault="0051773B" w:rsidP="00A31B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52D37">
              <w:rPr>
                <w:rFonts w:ascii="Times New Roman" w:hAnsi="Times New Roman" w:cs="Times New Roman"/>
                <w:sz w:val="20"/>
                <w:szCs w:val="20"/>
              </w:rPr>
              <w:t>того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BD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BDA">
              <w:rPr>
                <w:rFonts w:ascii="Times New Roman" w:hAnsi="Times New Roman" w:cs="Times New Roman"/>
                <w:sz w:val="20"/>
                <w:szCs w:val="20"/>
              </w:rPr>
              <w:t>муниципальному проекту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1BDA">
              <w:rPr>
                <w:rFonts w:ascii="Times New Roman" w:hAnsi="Times New Roman" w:cs="Times New Roman"/>
                <w:sz w:val="20"/>
                <w:szCs w:val="20"/>
              </w:rPr>
              <w:t>с указанием типа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BDA">
              <w:rPr>
                <w:rFonts w:ascii="Times New Roman" w:hAnsi="Times New Roman" w:cs="Times New Roman"/>
                <w:sz w:val="20"/>
                <w:szCs w:val="20"/>
              </w:rPr>
              <w:t>муниципального проекта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1773B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1773B" w:rsidRPr="00C04231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C04231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</w:t>
            </w:r>
          </w:p>
        </w:tc>
        <w:tc>
          <w:tcPr>
            <w:tcW w:w="1417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51773B" w:rsidRPr="00C04231" w:rsidRDefault="0051773B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7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51773B" w:rsidRPr="00C04231" w:rsidRDefault="0051773B" w:rsidP="0051773B">
            <w:pPr>
              <w:pStyle w:val="ConsPlusNormal"/>
              <w:ind w:left="224" w:firstLine="59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417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bottom"/>
          </w:tcPr>
          <w:p w:rsidR="0051773B" w:rsidRPr="00C04231" w:rsidRDefault="0051773B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7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51773B" w:rsidTr="00C04231">
        <w:tc>
          <w:tcPr>
            <w:tcW w:w="6516" w:type="dxa"/>
            <w:vAlign w:val="center"/>
          </w:tcPr>
          <w:p w:rsidR="0051773B" w:rsidRPr="00C04231" w:rsidRDefault="0051773B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C04231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22" w:rsidRPr="0051773B" w:rsidTr="00C04231">
        <w:tc>
          <w:tcPr>
            <w:tcW w:w="6516" w:type="dxa"/>
            <w:vAlign w:val="center"/>
          </w:tcPr>
          <w:p w:rsidR="003B4D22" w:rsidRPr="00C04231" w:rsidRDefault="003B4D22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4D22" w:rsidRPr="00C04231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4D22" w:rsidRPr="00C04231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B4D22" w:rsidRPr="00C04231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4D22" w:rsidRPr="00C04231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B4D22" w:rsidRPr="00C04231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3B4D22" w:rsidRPr="00C04231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4D22" w:rsidRPr="00C04231" w:rsidRDefault="003B4D22" w:rsidP="00C04231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C04231">
        <w:rPr>
          <w:rFonts w:ascii="Times New Roman" w:hAnsi="Times New Roman" w:cs="Times New Roman"/>
        </w:rPr>
        <w:t>Примечания:</w:t>
      </w:r>
    </w:p>
    <w:p w:rsidR="003B4D22" w:rsidRPr="00C04231" w:rsidRDefault="003B4D22" w:rsidP="004157DA">
      <w:pPr>
        <w:pStyle w:val="a4"/>
        <w:ind w:right="-598" w:firstLine="709"/>
        <w:jc w:val="both"/>
        <w:rPr>
          <w:rFonts w:ascii="Times New Roman" w:hAnsi="Times New Roman" w:cs="Times New Roman"/>
        </w:rPr>
      </w:pPr>
      <w:r w:rsidRPr="00C04231">
        <w:rPr>
          <w:rFonts w:ascii="Times New Roman" w:hAnsi="Times New Roman" w:cs="Times New Roman"/>
          <w:vertAlign w:val="superscript"/>
        </w:rPr>
        <w:t>1</w:t>
      </w:r>
      <w:r w:rsidRPr="00C04231"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 w:rsidR="007333D9">
        <w:rPr>
          <w:rFonts w:ascii="Times New Roman" w:hAnsi="Times New Roman" w:cs="Times New Roman"/>
        </w:rPr>
        <w:t xml:space="preserve"> </w:t>
      </w:r>
      <w:r w:rsidRPr="00C04231">
        <w:rPr>
          <w:rFonts w:ascii="Times New Roman" w:hAnsi="Times New Roman" w:cs="Times New Roman"/>
        </w:rPr>
        <w:t>рассчитывается по формуле: графа 5 / графу 3 х 100, за исключением внебюджетных источников, для которых процент исполнения рассчитывается по формуле: графа 5 / графу 2 х 100;</w:t>
      </w:r>
    </w:p>
    <w:p w:rsidR="004B007B" w:rsidRPr="00C04231" w:rsidRDefault="004B007B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C04231">
        <w:rPr>
          <w:rFonts w:ascii="Times New Roman" w:hAnsi="Times New Roman" w:cs="Times New Roman"/>
          <w:vertAlign w:val="superscript"/>
        </w:rPr>
        <w:t>2</w:t>
      </w:r>
      <w:r w:rsidRPr="00C04231">
        <w:rPr>
          <w:rFonts w:ascii="Times New Roman" w:hAnsi="Times New Roman" w:cs="Times New Roman"/>
        </w:rPr>
        <w:t xml:space="preserve"> – указываются причины отклонения фактического значения показателя от его планового значения на конец отчетного периода (при наличии отклонений) в случае, если уровень кассового исполнения расходов составляет:</w:t>
      </w:r>
    </w:p>
    <w:p w:rsidR="004B007B" w:rsidRPr="00C04231" w:rsidRDefault="004B007B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C04231">
        <w:rPr>
          <w:rFonts w:ascii="Times New Roman" w:hAnsi="Times New Roman" w:cs="Times New Roman"/>
        </w:rPr>
        <w:t xml:space="preserve">- 45 % для отчетов на </w:t>
      </w:r>
      <w:r w:rsidR="00C04231">
        <w:rPr>
          <w:rFonts w:ascii="Times New Roman" w:hAnsi="Times New Roman" w:cs="Times New Roman"/>
        </w:rPr>
        <w:t>01 июля</w:t>
      </w:r>
      <w:r w:rsidRPr="00C04231">
        <w:rPr>
          <w:rFonts w:ascii="Times New Roman" w:hAnsi="Times New Roman" w:cs="Times New Roman"/>
        </w:rPr>
        <w:t xml:space="preserve">; </w:t>
      </w:r>
    </w:p>
    <w:p w:rsidR="004B007B" w:rsidRPr="00C04231" w:rsidRDefault="00C04231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- 70 % для отчетов на 01 октября</w:t>
      </w:r>
      <w:r w:rsidR="004B007B" w:rsidRPr="00C04231">
        <w:rPr>
          <w:rFonts w:ascii="Times New Roman" w:hAnsi="Times New Roman" w:cs="Times New Roman"/>
        </w:rPr>
        <w:t>;</w:t>
      </w:r>
    </w:p>
    <w:p w:rsidR="004B007B" w:rsidRPr="00C04231" w:rsidRDefault="00C04231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- 95 % для отчетов на 31 декабря</w:t>
      </w:r>
      <w:r w:rsidR="004B007B" w:rsidRPr="00C04231">
        <w:rPr>
          <w:rFonts w:ascii="Times New Roman" w:hAnsi="Times New Roman" w:cs="Times New Roman"/>
        </w:rPr>
        <w:t>;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C04231">
        <w:rPr>
          <w:rFonts w:ascii="Times New Roman" w:hAnsi="Times New Roman" w:cs="Times New Roman"/>
          <w:vertAlign w:val="superscript"/>
        </w:rPr>
        <w:t>3</w:t>
      </w:r>
      <w:r w:rsidRPr="00C04231">
        <w:rPr>
          <w:rFonts w:ascii="Times New Roman" w:hAnsi="Times New Roman" w:cs="Times New Roman"/>
        </w:rPr>
        <w:t xml:space="preserve"> </w:t>
      </w:r>
      <w:r w:rsidR="00161969" w:rsidRPr="00161969">
        <w:rPr>
          <w:rFonts w:ascii="Times New Roman" w:hAnsi="Times New Roman" w:cs="Times New Roman"/>
        </w:rPr>
        <w:t>–</w:t>
      </w:r>
      <w:r w:rsidR="00161969">
        <w:rPr>
          <w:rFonts w:ascii="Times New Roman" w:hAnsi="Times New Roman" w:cs="Times New Roman"/>
        </w:rPr>
        <w:t xml:space="preserve"> </w:t>
      </w:r>
      <w:r w:rsidRPr="00C04231">
        <w:rPr>
          <w:rFonts w:ascii="Times New Roman" w:hAnsi="Times New Roman" w:cs="Times New Roman"/>
        </w:rPr>
        <w:t>необходимо расшифровать внебюджетные источники</w:t>
      </w:r>
      <w:r>
        <w:rPr>
          <w:rFonts w:ascii="Times New Roman" w:hAnsi="Times New Roman" w:cs="Times New Roman"/>
        </w:rPr>
        <w:t>.</w:t>
      </w:r>
    </w:p>
    <w:p w:rsidR="00315B57" w:rsidRDefault="00315B57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14F4" w:rsidRDefault="006114F4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14F4" w:rsidRDefault="006114F4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14F4" w:rsidRPr="00420445" w:rsidRDefault="006114F4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D6116" w:rsidRPr="00D07C8D" w:rsidRDefault="009D6116" w:rsidP="00D07C8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D6116">
        <w:rPr>
          <w:rFonts w:ascii="Times New Roman" w:hAnsi="Times New Roman" w:cs="Times New Roman"/>
          <w:sz w:val="28"/>
          <w:szCs w:val="28"/>
        </w:rPr>
        <w:lastRenderedPageBreak/>
        <w:t>5. Информация о рисках муниципального проекта (с указание</w:t>
      </w:r>
      <w:r w:rsidR="00977CC4">
        <w:rPr>
          <w:rFonts w:ascii="Times New Roman" w:hAnsi="Times New Roman" w:cs="Times New Roman"/>
          <w:sz w:val="28"/>
          <w:szCs w:val="28"/>
        </w:rPr>
        <w:t>м</w:t>
      </w:r>
      <w:r w:rsidRPr="009D6116">
        <w:rPr>
          <w:rFonts w:ascii="Times New Roman" w:hAnsi="Times New Roman" w:cs="Times New Roman"/>
          <w:sz w:val="28"/>
          <w:szCs w:val="28"/>
        </w:rPr>
        <w:t xml:space="preserve"> типа муниципального </w:t>
      </w:r>
      <w:r w:rsidR="00D07C8D" w:rsidRPr="009D6116">
        <w:rPr>
          <w:rFonts w:ascii="Times New Roman" w:hAnsi="Times New Roman" w:cs="Times New Roman"/>
          <w:sz w:val="28"/>
          <w:szCs w:val="28"/>
        </w:rPr>
        <w:t>проекта)</w:t>
      </w:r>
      <w:r w:rsidR="00D07C8D">
        <w:rPr>
          <w:rFonts w:ascii="Times New Roman" w:hAnsi="Times New Roman" w:cs="Times New Roman"/>
          <w:sz w:val="28"/>
          <w:szCs w:val="28"/>
          <w:vertAlign w:val="superscript"/>
        </w:rPr>
        <w:t xml:space="preserve"> *</w:t>
      </w:r>
      <w:r w:rsidR="00D07C8D" w:rsidRPr="00D07C8D">
        <w:rPr>
          <w:rFonts w:ascii="Times New Roman" w:hAnsi="Times New Roman" w:cs="Times New Roman"/>
          <w:sz w:val="28"/>
          <w:szCs w:val="28"/>
        </w:rPr>
        <w:t>.</w:t>
      </w:r>
    </w:p>
    <w:p w:rsidR="009D6116" w:rsidRPr="009D6116" w:rsidRDefault="009D6116" w:rsidP="009D61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2"/>
        <w:gridCol w:w="3969"/>
        <w:gridCol w:w="1985"/>
        <w:gridCol w:w="1701"/>
        <w:gridCol w:w="1559"/>
        <w:gridCol w:w="1658"/>
        <w:gridCol w:w="1604"/>
        <w:gridCol w:w="2125"/>
      </w:tblGrid>
      <w:tr w:rsidR="009D6116" w:rsidRPr="009D6116" w:rsidTr="00420445">
        <w:tc>
          <w:tcPr>
            <w:tcW w:w="562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№ п/п</w:t>
            </w:r>
          </w:p>
        </w:tc>
        <w:tc>
          <w:tcPr>
            <w:tcW w:w="3969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Наименование показателя задачи, мероприятия (результата)</w:t>
            </w:r>
          </w:p>
        </w:tc>
        <w:tc>
          <w:tcPr>
            <w:tcW w:w="1985" w:type="dxa"/>
          </w:tcPr>
          <w:p w:rsidR="009D6116" w:rsidRPr="00C04231" w:rsidRDefault="009D6116" w:rsidP="00977C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Описание риска</w:t>
            </w:r>
          </w:p>
        </w:tc>
        <w:tc>
          <w:tcPr>
            <w:tcW w:w="1701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Оценка возможных последствий риска</w:t>
            </w:r>
          </w:p>
        </w:tc>
        <w:tc>
          <w:tcPr>
            <w:tcW w:w="1559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Уровень риска</w:t>
            </w:r>
          </w:p>
        </w:tc>
        <w:tc>
          <w:tcPr>
            <w:tcW w:w="1658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Планируемые меры реагирования</w:t>
            </w:r>
          </w:p>
        </w:tc>
        <w:tc>
          <w:tcPr>
            <w:tcW w:w="1604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Срок выполнения меры реагирования</w:t>
            </w:r>
          </w:p>
        </w:tc>
        <w:tc>
          <w:tcPr>
            <w:tcW w:w="2125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Ответственный за принятие мер реагирования (ФИО, должность, организация)</w:t>
            </w:r>
          </w:p>
        </w:tc>
      </w:tr>
    </w:tbl>
    <w:p w:rsidR="002665BE" w:rsidRPr="00836C21" w:rsidRDefault="002665BE" w:rsidP="002665BE">
      <w:pPr>
        <w:pStyle w:val="a4"/>
        <w:ind w:right="-73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 w:rsidRPr="00810604">
        <w:t xml:space="preserve"> </w:t>
      </w:r>
      <w:r w:rsidR="00D07C8D">
        <w:rPr>
          <w:rFonts w:ascii="Times New Roman" w:hAnsi="Times New Roman" w:cs="Times New Roman"/>
          <w:vertAlign w:val="superscript"/>
        </w:rPr>
        <w:t>*</w:t>
      </w:r>
      <w:r w:rsidRPr="00810604"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 w:rsidR="00D07C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810604">
        <w:rPr>
          <w:rFonts w:ascii="Times New Roman" w:hAnsi="Times New Roman" w:cs="Times New Roman"/>
        </w:rPr>
        <w:t>аздел заполняется в случае выявления рисков по состоянию на 01 июля и на 01 октября текущего года.</w:t>
      </w:r>
    </w:p>
    <w:p w:rsidR="00AE6231" w:rsidRDefault="00AE6231" w:rsidP="002F4FD0"/>
    <w:sectPr w:rsidR="00AE6231" w:rsidSect="008C77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 w:code="9"/>
      <w:pgMar w:top="1439" w:right="1134" w:bottom="1135" w:left="1134" w:header="397" w:footer="0" w:gutter="0"/>
      <w:pgNumType w:start="18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D8E" w:rsidRDefault="00C45D8E" w:rsidP="008579F7">
      <w:pPr>
        <w:spacing w:after="0" w:line="240" w:lineRule="auto"/>
      </w:pPr>
      <w:r>
        <w:separator/>
      </w:r>
    </w:p>
  </w:endnote>
  <w:endnote w:type="continuationSeparator" w:id="0">
    <w:p w:rsidR="00C45D8E" w:rsidRDefault="00C45D8E" w:rsidP="0085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D8E" w:rsidRDefault="00C45D8E" w:rsidP="008579F7">
      <w:pPr>
        <w:spacing w:after="0" w:line="240" w:lineRule="auto"/>
      </w:pPr>
      <w:r>
        <w:separator/>
      </w:r>
    </w:p>
  </w:footnote>
  <w:footnote w:type="continuationSeparator" w:id="0">
    <w:p w:rsidR="00C45D8E" w:rsidRDefault="00C45D8E" w:rsidP="0085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7343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245B0" w:rsidRPr="008C77B7" w:rsidRDefault="000245B0">
        <w:pPr>
          <w:pStyle w:val="a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C77B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77B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77B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3DD6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8C77B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245B0" w:rsidRPr="008C77B7" w:rsidRDefault="000245B0">
    <w:pPr>
      <w:pStyle w:val="ae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600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245B0" w:rsidRPr="000245B0" w:rsidRDefault="000245B0">
        <w:pPr>
          <w:pStyle w:val="a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245B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245B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245B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3DD6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0245B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245B0" w:rsidRDefault="000245B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D3"/>
    <w:rsid w:val="000245B0"/>
    <w:rsid w:val="000B5C24"/>
    <w:rsid w:val="00147658"/>
    <w:rsid w:val="00161969"/>
    <w:rsid w:val="001C51C0"/>
    <w:rsid w:val="001C6833"/>
    <w:rsid w:val="001D44F6"/>
    <w:rsid w:val="001E4599"/>
    <w:rsid w:val="002044D9"/>
    <w:rsid w:val="002045BC"/>
    <w:rsid w:val="002665BE"/>
    <w:rsid w:val="002C4373"/>
    <w:rsid w:val="002F3096"/>
    <w:rsid w:val="002F4FD0"/>
    <w:rsid w:val="00315B57"/>
    <w:rsid w:val="003250BE"/>
    <w:rsid w:val="003753AD"/>
    <w:rsid w:val="003B4D22"/>
    <w:rsid w:val="003C6976"/>
    <w:rsid w:val="003D2105"/>
    <w:rsid w:val="003E1F7D"/>
    <w:rsid w:val="003E421F"/>
    <w:rsid w:val="00411371"/>
    <w:rsid w:val="004157DA"/>
    <w:rsid w:val="00420445"/>
    <w:rsid w:val="00430187"/>
    <w:rsid w:val="0043413F"/>
    <w:rsid w:val="00452D37"/>
    <w:rsid w:val="004842E5"/>
    <w:rsid w:val="00497303"/>
    <w:rsid w:val="004B007B"/>
    <w:rsid w:val="00514D6A"/>
    <w:rsid w:val="0051773B"/>
    <w:rsid w:val="0052537B"/>
    <w:rsid w:val="00566B71"/>
    <w:rsid w:val="00571C08"/>
    <w:rsid w:val="005A3509"/>
    <w:rsid w:val="006114F4"/>
    <w:rsid w:val="00644FCF"/>
    <w:rsid w:val="00653591"/>
    <w:rsid w:val="006913A0"/>
    <w:rsid w:val="00692D88"/>
    <w:rsid w:val="006E16BC"/>
    <w:rsid w:val="007333D9"/>
    <w:rsid w:val="0074667E"/>
    <w:rsid w:val="00754E29"/>
    <w:rsid w:val="007674B5"/>
    <w:rsid w:val="007702AB"/>
    <w:rsid w:val="007E3DD6"/>
    <w:rsid w:val="007F4C66"/>
    <w:rsid w:val="008027F4"/>
    <w:rsid w:val="00806229"/>
    <w:rsid w:val="00842F69"/>
    <w:rsid w:val="008579F7"/>
    <w:rsid w:val="008C77B7"/>
    <w:rsid w:val="008C7EF7"/>
    <w:rsid w:val="008E0219"/>
    <w:rsid w:val="008E4936"/>
    <w:rsid w:val="00970AC2"/>
    <w:rsid w:val="00977CC4"/>
    <w:rsid w:val="009A1849"/>
    <w:rsid w:val="009D3666"/>
    <w:rsid w:val="009D6116"/>
    <w:rsid w:val="00A20EE3"/>
    <w:rsid w:val="00A31BDA"/>
    <w:rsid w:val="00A349D8"/>
    <w:rsid w:val="00A47D5B"/>
    <w:rsid w:val="00A73F6C"/>
    <w:rsid w:val="00AA169E"/>
    <w:rsid w:val="00AB4ECB"/>
    <w:rsid w:val="00AB7455"/>
    <w:rsid w:val="00AC71D2"/>
    <w:rsid w:val="00AD1B08"/>
    <w:rsid w:val="00AE6231"/>
    <w:rsid w:val="00B01173"/>
    <w:rsid w:val="00B545EC"/>
    <w:rsid w:val="00BC0E8F"/>
    <w:rsid w:val="00BD4E08"/>
    <w:rsid w:val="00BE46BF"/>
    <w:rsid w:val="00BE7FD9"/>
    <w:rsid w:val="00BF08BC"/>
    <w:rsid w:val="00BF2882"/>
    <w:rsid w:val="00BF2965"/>
    <w:rsid w:val="00C04231"/>
    <w:rsid w:val="00C10B72"/>
    <w:rsid w:val="00C3623C"/>
    <w:rsid w:val="00C36C7B"/>
    <w:rsid w:val="00C45D8E"/>
    <w:rsid w:val="00C60D73"/>
    <w:rsid w:val="00CD4B38"/>
    <w:rsid w:val="00D07C8D"/>
    <w:rsid w:val="00D52792"/>
    <w:rsid w:val="00D616AC"/>
    <w:rsid w:val="00D77E67"/>
    <w:rsid w:val="00D810C5"/>
    <w:rsid w:val="00D83809"/>
    <w:rsid w:val="00D92230"/>
    <w:rsid w:val="00DC2A85"/>
    <w:rsid w:val="00DD4EEC"/>
    <w:rsid w:val="00DD7976"/>
    <w:rsid w:val="00DD7990"/>
    <w:rsid w:val="00E065F2"/>
    <w:rsid w:val="00E30BDA"/>
    <w:rsid w:val="00E5710D"/>
    <w:rsid w:val="00E73CB3"/>
    <w:rsid w:val="00E8232B"/>
    <w:rsid w:val="00EA0B86"/>
    <w:rsid w:val="00F04934"/>
    <w:rsid w:val="00F67493"/>
    <w:rsid w:val="00F67E1E"/>
    <w:rsid w:val="00F95AD3"/>
    <w:rsid w:val="00FA47D9"/>
    <w:rsid w:val="00FD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BDDACB-729C-4631-9D03-5C81478D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5A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9D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8579F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579F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579F7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3C697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C697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C697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C697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C697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C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C6976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CD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4B38"/>
  </w:style>
  <w:style w:type="paragraph" w:styleId="af0">
    <w:name w:val="footer"/>
    <w:basedOn w:val="a"/>
    <w:link w:val="af1"/>
    <w:uiPriority w:val="99"/>
    <w:unhideWhenUsed/>
    <w:rsid w:val="00CD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593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CC82F-416D-4170-A2E8-B7038890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Голубовская Екатерина Викторовна</dc:creator>
  <cp:keywords/>
  <dc:description/>
  <cp:lastModifiedBy>Мельничану Лилия Николаевна</cp:lastModifiedBy>
  <cp:revision>2</cp:revision>
  <cp:lastPrinted>2025-06-09T10:48:00Z</cp:lastPrinted>
  <dcterms:created xsi:type="dcterms:W3CDTF">2025-07-09T09:45:00Z</dcterms:created>
  <dcterms:modified xsi:type="dcterms:W3CDTF">2025-07-09T09:45:00Z</dcterms:modified>
</cp:coreProperties>
</file>