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74" w:rsidRPr="00896B16" w:rsidRDefault="00C13B74" w:rsidP="002D2147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13B74" w:rsidRPr="00896B16" w:rsidRDefault="00C13B74" w:rsidP="002D2147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13B74" w:rsidRPr="00896B16" w:rsidRDefault="00C13B74" w:rsidP="002D2147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C13B74" w:rsidRPr="00896B16" w:rsidRDefault="00C13B74" w:rsidP="002D2147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>от ______</w:t>
      </w:r>
      <w:r w:rsidR="0003455F">
        <w:rPr>
          <w:rFonts w:ascii="Times New Roman" w:hAnsi="Times New Roman" w:cs="Times New Roman"/>
          <w:sz w:val="28"/>
          <w:szCs w:val="28"/>
        </w:rPr>
        <w:t>_______ № ________</w:t>
      </w:r>
    </w:p>
    <w:p w:rsidR="00722651" w:rsidRPr="00896B16" w:rsidRDefault="00722651" w:rsidP="002D2147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5392" w:rsidRPr="00896B16" w:rsidRDefault="002D5392" w:rsidP="002D2147">
      <w:pPr>
        <w:widowControl w:val="0"/>
        <w:autoSpaceDE w:val="0"/>
        <w:autoSpaceDN w:val="0"/>
        <w:adjustRightInd w:val="0"/>
        <w:spacing w:after="0" w:line="240" w:lineRule="auto"/>
        <w:ind w:firstLine="7938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790ADD" w:rsidRPr="00896B16" w:rsidRDefault="007F2EBF" w:rsidP="002D21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униципальн</w:t>
      </w: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ая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</w:t>
      </w: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="00790ADD" w:rsidRPr="00896B1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790ADD" w:rsidRPr="00896B1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</w:r>
      <w:r w:rsidR="00722651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="008F6B92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Развитие транспортной системы города Сургута</w:t>
      </w:r>
      <w:r w:rsidR="00722651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» 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</w:p>
    <w:p w:rsidR="002862ED" w:rsidRPr="00896B16" w:rsidRDefault="00642554" w:rsidP="002D214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1. 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Основные положения</w:t>
      </w:r>
      <w:bookmarkStart w:id="0" w:name="_GoBack"/>
      <w:bookmarkEnd w:id="0"/>
    </w:p>
    <w:p w:rsidR="00E505D8" w:rsidRPr="00896B16" w:rsidRDefault="00E505D8" w:rsidP="002D214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W w:w="153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8505"/>
      </w:tblGrid>
      <w:tr w:rsidR="00F422B6" w:rsidRPr="00896B16" w:rsidTr="005438EB">
        <w:trPr>
          <w:trHeight w:val="25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96B16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896B16" w:rsidRDefault="0072265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Агафонов Сергей Александрович</w:t>
            </w:r>
            <w:r w:rsidR="00B777B3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заместитель Главы города</w:t>
            </w:r>
          </w:p>
        </w:tc>
      </w:tr>
      <w:tr w:rsidR="00F422B6" w:rsidRPr="00896B16" w:rsidTr="005438EB">
        <w:trPr>
          <w:trHeight w:val="405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96B16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838" w:rsidRPr="00896B16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Алексеев Сергей Алексеевич, 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>директор департамента городского</w:t>
            </w:r>
            <w:r w:rsidR="00C151C0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 хозяйства Администрации города </w:t>
            </w:r>
            <w:r w:rsidR="00C57838" w:rsidRPr="00896B16">
              <w:rPr>
                <w:rFonts w:ascii="Times New Roman" w:eastAsiaTheme="minorEastAsia" w:hAnsi="Times New Roman" w:cs="Times New Roman"/>
                <w:lang w:eastAsia="ru-RU"/>
              </w:rPr>
              <w:t>(далее – ДГХ)</w:t>
            </w:r>
          </w:p>
        </w:tc>
      </w:tr>
      <w:tr w:rsidR="00F422B6" w:rsidRPr="00896B16" w:rsidTr="005438EB">
        <w:trPr>
          <w:trHeight w:val="682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896B16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2651" w:rsidRPr="00896B16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э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тап I: 01.01.2025 </w:t>
            </w:r>
            <w:r w:rsidR="00C13B74" w:rsidRPr="00896B16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 31.12.2026</w:t>
            </w:r>
          </w:p>
          <w:p w:rsidR="00722651" w:rsidRPr="00896B16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э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тап II: 01.01.2027 </w:t>
            </w:r>
            <w:r w:rsidR="00C13B74" w:rsidRPr="00896B16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 31.12.2031</w:t>
            </w:r>
          </w:p>
          <w:p w:rsidR="00454686" w:rsidRPr="00896B16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э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тап III: 01.01.2032 </w:t>
            </w:r>
            <w:r w:rsidR="00C13B74" w:rsidRPr="00896B16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72265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 31.12.2036</w:t>
            </w:r>
          </w:p>
        </w:tc>
      </w:tr>
      <w:tr w:rsidR="00F422B6" w:rsidRPr="00896B16" w:rsidTr="005438EB">
        <w:tc>
          <w:tcPr>
            <w:tcW w:w="6804" w:type="dxa"/>
            <w:tcBorders>
              <w:top w:val="single" w:sz="4" w:space="0" w:color="auto"/>
              <w:right w:val="single" w:sz="4" w:space="0" w:color="auto"/>
            </w:tcBorders>
          </w:tcPr>
          <w:p w:rsidR="008F6B92" w:rsidRPr="00896B16" w:rsidRDefault="008F6B92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911" w:rsidRPr="00896B16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1. </w:t>
            </w:r>
            <w:r w:rsidR="00CB6911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(создание) условий для развития транспортной инфраструктуры. </w:t>
            </w:r>
          </w:p>
          <w:p w:rsidR="008F6B92" w:rsidRPr="00896B16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2. </w:t>
            </w:r>
            <w:r w:rsidR="008F6B92" w:rsidRPr="00896B16">
              <w:rPr>
                <w:rFonts w:ascii="Times New Roman" w:eastAsiaTheme="minorEastAsia" w:hAnsi="Times New Roman" w:cs="Times New Roman"/>
                <w:lang w:eastAsia="ru-RU"/>
              </w:rPr>
              <w:t>Обеспечение устойчивого функционирования привлекательной и доступной для всех слоев населения системы городского пассажирского транспорта</w:t>
            </w:r>
            <w:r w:rsidR="00B777B3" w:rsidRPr="00896B16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  <w:p w:rsidR="00B777B3" w:rsidRPr="00896B16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 w:rsidR="00B777B3" w:rsidRPr="00896B16">
              <w:rPr>
                <w:rFonts w:ascii="Times New Roman" w:eastAsiaTheme="minorEastAsia" w:hAnsi="Times New Roman" w:cs="Times New Roman"/>
                <w:lang w:eastAsia="ru-RU"/>
              </w:rPr>
              <w:t>. Повышение уровня безопасности и качества автомоб</w:t>
            </w:r>
            <w:r w:rsidR="000643E6">
              <w:rPr>
                <w:rFonts w:ascii="Times New Roman" w:eastAsiaTheme="minorEastAsia" w:hAnsi="Times New Roman" w:cs="Times New Roman"/>
                <w:lang w:eastAsia="ru-RU"/>
              </w:rPr>
              <w:t>ильных дорог общего пользования</w:t>
            </w:r>
          </w:p>
        </w:tc>
      </w:tr>
      <w:tr w:rsidR="00CE52FD" w:rsidRPr="007771A6" w:rsidTr="005438EB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503170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03170">
              <w:rPr>
                <w:rFonts w:ascii="Times New Roman" w:eastAsiaTheme="minorEastAsia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503170" w:rsidRDefault="00503170" w:rsidP="0069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03170">
              <w:rPr>
                <w:rFonts w:ascii="Times New Roman" w:hAnsi="Times New Roman" w:cs="Times New Roman"/>
              </w:rPr>
              <w:t xml:space="preserve">75 967 807 558,10 </w:t>
            </w:r>
            <w:r w:rsidR="00AB7721" w:rsidRPr="00503170">
              <w:rPr>
                <w:rFonts w:ascii="Times New Roman" w:eastAsiaTheme="minorEastAsia" w:hAnsi="Times New Roman" w:cs="Times New Roman"/>
                <w:lang w:eastAsia="ru-RU"/>
              </w:rPr>
              <w:t>руб.</w:t>
            </w:r>
          </w:p>
        </w:tc>
      </w:tr>
      <w:tr w:rsidR="00F422B6" w:rsidRPr="00896B16" w:rsidTr="005438EB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5" w:rsidRPr="00896B16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Связь с национальными целями развития Российской Федерации / государственными программами</w:t>
            </w:r>
            <w:r w:rsidR="00827BC0"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Ханты-Мансийского автономного </w:t>
            </w:r>
          </w:p>
          <w:p w:rsidR="00790ADD" w:rsidRPr="00896B16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округа </w:t>
            </w:r>
            <w:r w:rsidR="00745383" w:rsidRPr="00896B16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 Югры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B92" w:rsidRPr="00896B16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 xml:space="preserve">1. </w:t>
            </w:r>
            <w:r w:rsidR="008F6B92" w:rsidRPr="00896B16">
              <w:rPr>
                <w:rFonts w:ascii="Times New Roman" w:eastAsiaTheme="minorEastAsia" w:hAnsi="Times New Roman" w:cs="Times New Roman"/>
                <w:lang w:eastAsia="ru-RU"/>
              </w:rPr>
              <w:t>Комфортная и безопасная среда для жизни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</w:p>
          <w:p w:rsidR="008F6B92" w:rsidRPr="00076B0A" w:rsidRDefault="00AB0754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76B0A">
              <w:rPr>
                <w:rFonts w:ascii="Times New Roman" w:eastAsiaTheme="minorEastAsia" w:hAnsi="Times New Roman" w:cs="Times New Roman"/>
                <w:lang w:eastAsia="ru-RU"/>
              </w:rPr>
              <w:t>- п</w:t>
            </w:r>
            <w:r w:rsidR="008F6B92" w:rsidRPr="00076B0A">
              <w:rPr>
                <w:rFonts w:ascii="Times New Roman" w:eastAsiaTheme="minorEastAsia" w:hAnsi="Times New Roman" w:cs="Times New Roman"/>
                <w:lang w:eastAsia="ru-RU"/>
              </w:rPr>
              <w:t xml:space="preserve">оказатель: </w:t>
            </w:r>
            <w:r w:rsidR="00552E4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="008F6B92" w:rsidRPr="00076B0A">
              <w:rPr>
                <w:rFonts w:ascii="Times New Roman" w:eastAsiaTheme="minorEastAsia" w:hAnsi="Times New Roman" w:cs="Times New Roman"/>
                <w:lang w:eastAsia="ru-RU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  <w:r w:rsidR="00552E4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  <w:r w:rsidRPr="00076B0A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:rsidR="008F6B92" w:rsidRPr="00076B0A" w:rsidRDefault="00AB0754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76B0A">
              <w:rPr>
                <w:rFonts w:ascii="Times New Roman" w:eastAsiaTheme="minorEastAsia" w:hAnsi="Times New Roman" w:cs="Times New Roman"/>
                <w:lang w:eastAsia="ru-RU"/>
              </w:rPr>
              <w:t>- п</w:t>
            </w:r>
            <w:r w:rsidR="008F6B92" w:rsidRPr="00076B0A">
              <w:rPr>
                <w:rFonts w:ascii="Times New Roman" w:eastAsiaTheme="minorEastAsia" w:hAnsi="Times New Roman" w:cs="Times New Roman"/>
                <w:lang w:eastAsia="ru-RU"/>
              </w:rPr>
              <w:t xml:space="preserve">оказатель: </w:t>
            </w:r>
            <w:r w:rsidR="00552E4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="008F6B92" w:rsidRPr="00076B0A">
              <w:rPr>
                <w:rFonts w:ascii="Times New Roman" w:eastAsiaTheme="minorEastAsia" w:hAnsi="Times New Roman" w:cs="Times New Roman"/>
                <w:lang w:eastAsia="ru-RU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552E4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  <w:r w:rsidRPr="00076B0A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:rsidR="00417F00" w:rsidRPr="00076B0A" w:rsidRDefault="00AB0754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76B0A">
              <w:rPr>
                <w:rFonts w:ascii="Times New Roman" w:eastAsiaTheme="minorEastAsia" w:hAnsi="Times New Roman" w:cs="Times New Roman"/>
                <w:lang w:eastAsia="ru-RU"/>
              </w:rPr>
              <w:t>- п</w:t>
            </w:r>
            <w:r w:rsidR="008F6B92" w:rsidRPr="00076B0A">
              <w:rPr>
                <w:rFonts w:ascii="Times New Roman" w:eastAsiaTheme="minorEastAsia" w:hAnsi="Times New Roman" w:cs="Times New Roman"/>
                <w:lang w:eastAsia="ru-RU"/>
              </w:rPr>
              <w:t xml:space="preserve">оказатель: </w:t>
            </w:r>
            <w:r w:rsidR="00552E4F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="008F6B92" w:rsidRPr="00076B0A">
              <w:rPr>
                <w:rFonts w:ascii="Times New Roman" w:eastAsiaTheme="minorEastAsia" w:hAnsi="Times New Roman" w:cs="Times New Roman"/>
                <w:lang w:eastAsia="ru-RU"/>
              </w:rPr>
              <w:t>Увеличение к 2030 году доли соответствующих нормативным требованиям автомобильных дорог крупнейших городских агломераций не менее чем до 85 процентов</w:t>
            </w:r>
            <w:r w:rsidR="00552E4F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  <w:r w:rsidR="00CB6911" w:rsidRPr="00076B0A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  <w:p w:rsidR="00CB6911" w:rsidRPr="00896B16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76B0A">
              <w:rPr>
                <w:rFonts w:ascii="Times New Roman" w:eastAsiaTheme="minorEastAsia" w:hAnsi="Times New Roman" w:cs="Times New Roman"/>
                <w:lang w:eastAsia="ru-RU"/>
              </w:rPr>
              <w:t>2. Государственная программа Ханты-Мансийского автономного округа – Югры «Современная</w:t>
            </w:r>
            <w:r w:rsidR="000643E6">
              <w:rPr>
                <w:rFonts w:ascii="Times New Roman" w:eastAsiaTheme="minorEastAsia" w:hAnsi="Times New Roman" w:cs="Times New Roman"/>
                <w:lang w:eastAsia="ru-RU"/>
              </w:rPr>
              <w:t xml:space="preserve"> транспортная система»</w:t>
            </w:r>
          </w:p>
        </w:tc>
      </w:tr>
    </w:tbl>
    <w:p w:rsidR="00426351" w:rsidRDefault="00426351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20200"/>
    </w:p>
    <w:p w:rsidR="00790ADD" w:rsidRPr="00896B16" w:rsidRDefault="00A923FD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896B1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790ADD" w:rsidRPr="00896B16">
        <w:rPr>
          <w:rFonts w:ascii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  <w:bookmarkEnd w:id="1"/>
      <w:r w:rsidR="000643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2651" w:rsidRPr="00896B16" w:rsidRDefault="00722651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095" w:type="dxa"/>
        <w:tblInd w:w="-3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"/>
        <w:gridCol w:w="1105"/>
        <w:gridCol w:w="29"/>
        <w:gridCol w:w="708"/>
        <w:gridCol w:w="538"/>
        <w:gridCol w:w="709"/>
        <w:gridCol w:w="595"/>
        <w:gridCol w:w="680"/>
        <w:gridCol w:w="709"/>
        <w:gridCol w:w="738"/>
        <w:gridCol w:w="850"/>
        <w:gridCol w:w="709"/>
        <w:gridCol w:w="709"/>
        <w:gridCol w:w="709"/>
        <w:gridCol w:w="708"/>
        <w:gridCol w:w="709"/>
        <w:gridCol w:w="709"/>
        <w:gridCol w:w="709"/>
        <w:gridCol w:w="737"/>
        <w:gridCol w:w="6"/>
        <w:gridCol w:w="1553"/>
        <w:gridCol w:w="6"/>
        <w:gridCol w:w="674"/>
        <w:gridCol w:w="6"/>
        <w:gridCol w:w="1015"/>
        <w:gridCol w:w="6"/>
        <w:gridCol w:w="14"/>
      </w:tblGrid>
      <w:tr w:rsidR="00F422B6" w:rsidRPr="00896B16" w:rsidTr="005438EB">
        <w:trPr>
          <w:gridAfter w:val="1"/>
          <w:wAfter w:w="14" w:type="dxa"/>
          <w:trHeight w:val="622"/>
        </w:trPr>
        <w:tc>
          <w:tcPr>
            <w:tcW w:w="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№ п/п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Уровень показателя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Единица измерения (по ОКЕИ)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Базовое значение</w:t>
            </w:r>
          </w:p>
        </w:tc>
        <w:tc>
          <w:tcPr>
            <w:tcW w:w="86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Значение показателя по годам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Документ</w:t>
            </w:r>
          </w:p>
        </w:tc>
        <w:tc>
          <w:tcPr>
            <w:tcW w:w="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Ответственный за достижение показателя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Связь с показателями национальных целей</w:t>
            </w:r>
          </w:p>
        </w:tc>
      </w:tr>
      <w:tr w:rsidR="00805F04" w:rsidRPr="00896B16" w:rsidTr="005438EB">
        <w:trPr>
          <w:gridAfter w:val="2"/>
          <w:wAfter w:w="20" w:type="dxa"/>
          <w:trHeight w:val="499"/>
        </w:trPr>
        <w:tc>
          <w:tcPr>
            <w:tcW w:w="4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значение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2" w:name="undefined"/>
            <w:bookmarkEnd w:id="2"/>
            <w:r w:rsidRPr="00896B16">
              <w:rPr>
                <w:rFonts w:ascii="Times New Roman" w:eastAsia="TimesNewRoman" w:hAnsi="Times New Roman" w:cs="Times New Roman"/>
                <w:sz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2026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2031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2032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2034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2035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2036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13B74" w:rsidRPr="00896B16" w:rsidRDefault="00C13B74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</w:tr>
      <w:tr w:rsidR="00F422B6" w:rsidRPr="00896B16" w:rsidTr="005438EB">
        <w:trPr>
          <w:gridAfter w:val="2"/>
          <w:wAfter w:w="20" w:type="dxa"/>
          <w:trHeight w:val="270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eastAsia="TimesNewRoman" w:hAnsi="Times New Roman" w:cs="Times New Roman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eastAsia="TimesNewRoman" w:hAnsi="Times New Roman" w:cs="Times New Roman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1</w:t>
            </w:r>
            <w:r w:rsidR="00FA465D" w:rsidRPr="00896B16">
              <w:rPr>
                <w:rFonts w:ascii="Times New Roman" w:eastAsia="TimesNewRoman" w:hAnsi="Times New Roman" w:cs="Times New Roman"/>
                <w:sz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680" w:type="dxa"/>
            <w:gridSpan w:val="2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eastAsia="TimesNewRoman" w:hAnsi="Times New Roman" w:cs="Times New Roman"/>
                <w:sz w:val="18"/>
              </w:rPr>
              <w:t>2</w:t>
            </w:r>
            <w:r w:rsidR="00FA465D" w:rsidRPr="00896B16">
              <w:rPr>
                <w:rFonts w:ascii="Times New Roman" w:eastAsia="TimesNewRoman" w:hAnsi="Times New Roman" w:cs="Times New Roman"/>
                <w:sz w:val="18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896B16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>2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  <w:tr w:rsidR="00F422B6" w:rsidRPr="00896B16" w:rsidTr="005438EB">
        <w:trPr>
          <w:trHeight w:val="142"/>
        </w:trPr>
        <w:tc>
          <w:tcPr>
            <w:tcW w:w="160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65D" w:rsidRPr="00896B16" w:rsidRDefault="00CB6911" w:rsidP="002D2147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96B16">
              <w:rPr>
                <w:rFonts w:ascii="Times New Roman" w:hAnsi="Times New Roman" w:cs="Times New Roman"/>
                <w:sz w:val="18"/>
              </w:rPr>
              <w:t xml:space="preserve">Цель 1 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«</w:t>
            </w:r>
            <w:r w:rsidR="008F6B92" w:rsidRPr="00896B16">
              <w:rPr>
                <w:rFonts w:ascii="Times New Roman" w:hAnsi="Times New Roman" w:cs="Times New Roman"/>
                <w:sz w:val="18"/>
              </w:rPr>
              <w:t>Формирование (создание) условий для развития транспортной инфраструктуры</w:t>
            </w:r>
            <w:r w:rsidR="00FA465D" w:rsidRPr="00896B16">
              <w:rPr>
                <w:rFonts w:ascii="Times New Roman" w:hAnsi="Times New Roman" w:cs="Times New Roman"/>
                <w:sz w:val="18"/>
              </w:rPr>
              <w:t>»</w:t>
            </w:r>
          </w:p>
        </w:tc>
      </w:tr>
      <w:tr w:rsidR="00F422B6" w:rsidRPr="00896B16" w:rsidTr="005438EB">
        <w:trPr>
          <w:gridAfter w:val="2"/>
          <w:wAfter w:w="20" w:type="dxa"/>
          <w:trHeight w:val="123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2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A05DAF" w:rsidRDefault="00FA6E92" w:rsidP="00A43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Доля </w:t>
            </w:r>
            <w:r w:rsidR="00962E23"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протяженности </w:t>
            </w: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автомобильных дорог общего пользования местного значения, </w:t>
            </w:r>
            <w:r w:rsidR="007A096F"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отвечающих </w:t>
            </w: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нормативным требованиям</w:t>
            </w:r>
            <w:r w:rsidR="00775679"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,</w:t>
            </w:r>
            <w:r w:rsidR="00775679" w:rsidRPr="00896B16">
              <w:t xml:space="preserve"> </w:t>
            </w:r>
            <w:r w:rsidR="00775679"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в общей протяженности автомобильных дорог общего пользования местного значения</w:t>
            </w:r>
            <w:r w:rsidR="00A05DAF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3482E" w:rsidRDefault="00FA6E92" w:rsidP="002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AB0754" w:rsidP="002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FA6E92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84,9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1F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7CB" w:rsidRPr="00896B16" w:rsidRDefault="006077CB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FA6E92" w:rsidP="002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896B16" w:rsidRDefault="009B15D8" w:rsidP="002D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</w:t>
            </w:r>
            <w:r w:rsidR="00FA6E92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величение к 2030 году доли соответствующих нормативным требованиям автомобильных дорог крупнейших городских агломераций не менее чем до 85 процентов</w:t>
            </w:r>
          </w:p>
        </w:tc>
      </w:tr>
      <w:tr w:rsidR="006906EB" w:rsidRPr="00896B16" w:rsidTr="005438EB">
        <w:trPr>
          <w:gridAfter w:val="2"/>
          <w:wAfter w:w="20" w:type="dxa"/>
          <w:trHeight w:val="974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Доля дорожной сети в крупнейших городских агломерациях, </w:t>
            </w:r>
            <w:r w:rsidRPr="009A6599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lastRenderedPageBreak/>
              <w:t>соответствующая нормативам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lastRenderedPageBreak/>
              <w:t xml:space="preserve"> ГП</w:t>
            </w:r>
            <w:r w:rsidR="0083482E" w:rsidRPr="009A6599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84,9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Указ Президента РФ от 04.02.2021 №68 Об оценке эффективности деятельности высших должностных лиц субъектов </w:t>
            </w: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Российской Федерации и деятельности исполнительных органов субъектов Российской Федерации;</w:t>
            </w:r>
          </w:p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постановление Правительства Ханты-Мансийского АО - Югры от 10 ноября 2023 № 559-п</w:t>
            </w:r>
          </w:p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«О государственной программе Ханты-Мансийского автономного округа - Югры «Современная транспортная система»</w:t>
            </w:r>
          </w:p>
          <w:p w:rsidR="006906EB" w:rsidRPr="009A6599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9A6599" w:rsidRDefault="006906E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ДГХ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EB" w:rsidRPr="00896B16" w:rsidRDefault="006906EB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увеличение к 2030 году доли соответствующих нормативным требовани</w:t>
            </w: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ям автомобильных дорог крупнейших городских агломераций не менее чем до 85 процентов</w:t>
            </w:r>
          </w:p>
        </w:tc>
      </w:tr>
      <w:tr w:rsidR="00D74395" w:rsidRPr="00896B16" w:rsidTr="005438EB">
        <w:trPr>
          <w:gridAfter w:val="2"/>
          <w:wAfter w:w="20" w:type="dxa"/>
          <w:trHeight w:val="974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B751A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74395" w:rsidRPr="00B751AB" w:rsidRDefault="00D74395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51AB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Прирост протяженности сети автомобильных дорог общего пользования местного значения на территории муниципального образования в результате строительства новых автомобильных дорог</w:t>
            </w:r>
            <w:r w:rsidRPr="00B751A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A228ED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ГП</w:t>
            </w:r>
            <w:r w:rsidRPr="00B751AB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636731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344A1D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1,147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AA5546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931E47" w:rsidP="0046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2,38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931E47" w:rsidP="0046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2,41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931E47" w:rsidP="0046006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F6538E" w:rsidP="00F6538E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9D664F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  <w:r w:rsidR="006339F7"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</w:t>
            </w:r>
          </w:p>
          <w:p w:rsidR="009D664F" w:rsidRPr="00B751AB" w:rsidRDefault="009D664F" w:rsidP="009D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постановление Правительства Ханты-Мансийского АО - Югры от 10 ноября 2023 № 559-п</w:t>
            </w:r>
          </w:p>
          <w:p w:rsidR="009D664F" w:rsidRPr="00B751AB" w:rsidRDefault="009D664F" w:rsidP="009D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«О государственной программе </w:t>
            </w: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Ханты-Мансийского автономного округа - Югры «Современная транспортная система»</w:t>
            </w:r>
          </w:p>
          <w:p w:rsidR="009D664F" w:rsidRPr="00B751AB" w:rsidRDefault="009D664F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726E11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ДАиГ</w:t>
            </w:r>
            <w:proofErr w:type="spellEnd"/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B751AB" w:rsidRDefault="002F0159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B7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9B1DBE" w:rsidRPr="00896B16" w:rsidTr="005438EB">
        <w:trPr>
          <w:gridAfter w:val="2"/>
          <w:wAfter w:w="20" w:type="dxa"/>
          <w:trHeight w:val="1833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B751AB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B1DBE" w:rsidRPr="00A05DAF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Доля площади территории города, находящаяся в нормативном радиусе пешеходной доступности от остановочных пунктов</w:t>
            </w:r>
            <w:r w:rsidR="00A05DAF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3482E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AB0754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9B1DBE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25" w:rsidRPr="00896B16" w:rsidRDefault="00664525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  <w:proofErr w:type="spellEnd"/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896B16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увеличение к 2030 году доли соответствующих нормативным требованиям автомобильных дорог крупнейших городских агломераций не менее чем до 85 процентов</w:t>
            </w:r>
          </w:p>
        </w:tc>
      </w:tr>
      <w:tr w:rsidR="008C29CA" w:rsidRPr="00896B16" w:rsidTr="005438EB">
        <w:trPr>
          <w:gridAfter w:val="2"/>
          <w:wAfter w:w="20" w:type="dxa"/>
          <w:trHeight w:val="2216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Наличие речного вокзала с развитой инфраструктурой речных перевозок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AB0754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</w:t>
            </w:r>
            <w:r w:rsidR="008C29CA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25" w:rsidRPr="00896B16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  <w:proofErr w:type="spellEnd"/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</w:tr>
      <w:tr w:rsidR="008C29CA" w:rsidRPr="00896B16" w:rsidTr="005438EB">
        <w:trPr>
          <w:gridAfter w:val="2"/>
          <w:wAfter w:w="20" w:type="dxa"/>
          <w:trHeight w:val="1683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Наличие транспортно-пересадочных узлов (аэропорт, автовокзал, ж/д вокзал)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AB0754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</w:t>
            </w:r>
            <w:r w:rsidR="008C29CA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25" w:rsidRPr="00896B16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от 08.06.2015 № 718-V ДГ «О Стратегии социально-экономического развития города </w:t>
            </w: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ДАиГ</w:t>
            </w:r>
            <w:proofErr w:type="spellEnd"/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</w:tr>
      <w:tr w:rsidR="008C29CA" w:rsidRPr="00896B16" w:rsidTr="005438EB">
        <w:trPr>
          <w:gridAfter w:val="2"/>
          <w:wAfter w:w="20" w:type="dxa"/>
          <w:trHeight w:val="2654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A05DAF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Обеспеченность велосипедными дорожками (территории жилой и общественно-деловой застройки) (в расчете на квадратный километр)</w:t>
            </w:r>
            <w:r w:rsidR="00A05DAF">
              <w:rPr>
                <w:rFonts w:ascii="Times New Roman" w:eastAsia="Times New Roman" w:hAnsi="Times New Roman" w:cs="Times New Roman"/>
                <w:iCs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СЭР</w:t>
            </w:r>
            <w:r w:rsidR="0083482E" w:rsidRPr="0083482E">
              <w:rPr>
                <w:rFonts w:ascii="Times New Roman" w:eastAsia="Times New Roman" w:hAnsi="Times New Roman" w:cs="Times New Roman"/>
                <w:iCs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километр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49467D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25" w:rsidRPr="00896B16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  <w:proofErr w:type="spellEnd"/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к 2030 году доли соответствующих нормативным требованиям автомобильных дорог крупнейших городских агломераций не менее чем до 85 процентов</w:t>
            </w:r>
          </w:p>
        </w:tc>
      </w:tr>
      <w:tr w:rsidR="008C29CA" w:rsidRPr="00896B16" w:rsidTr="005438EB">
        <w:trPr>
          <w:gridAfter w:val="2"/>
          <w:wAfter w:w="20" w:type="dxa"/>
          <w:trHeight w:val="22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Наличие крупных транспортно-логистических комплексов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AB0754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</w:t>
            </w:r>
            <w:r w:rsidR="008C29CA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25" w:rsidRPr="00896B16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  <w:proofErr w:type="spellEnd"/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</w:tr>
      <w:tr w:rsidR="008C29CA" w:rsidRPr="00896B16" w:rsidTr="005438EB">
        <w:trPr>
          <w:gridAfter w:val="2"/>
          <w:wAfter w:w="20" w:type="dxa"/>
          <w:trHeight w:val="2654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Удовлетворенность качеством и доступностью автомобильных дорог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AB0754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8C29CA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525" w:rsidRPr="00896B16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ДГХ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увеличение к 2030 году доли соответствующих нормативным требованиям автомобильных дорог крупнейших городских агломераций не менее чем до 85 процентов</w:t>
            </w:r>
          </w:p>
        </w:tc>
      </w:tr>
      <w:tr w:rsidR="008C29CA" w:rsidRPr="00896B16" w:rsidTr="005438EB">
        <w:trPr>
          <w:trHeight w:val="225"/>
        </w:trPr>
        <w:tc>
          <w:tcPr>
            <w:tcW w:w="160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Цель 2 «Обеспечение устойчивого функционирования привлекательной и доступной для всех слоев населения системы городского пассажирского транспорта»</w:t>
            </w:r>
          </w:p>
        </w:tc>
      </w:tr>
      <w:tr w:rsidR="008C29CA" w:rsidRPr="00896B16" w:rsidTr="005438EB">
        <w:trPr>
          <w:gridAfter w:val="2"/>
          <w:wAfter w:w="20" w:type="dxa"/>
          <w:trHeight w:val="2654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  <w:r w:rsidR="00A05DAF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  <w:p w:rsidR="00E02761" w:rsidRPr="00A05DAF" w:rsidRDefault="00E0276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3482E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AB0754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8C29CA"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23,3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79C" w:rsidRPr="00896B16" w:rsidRDefault="00D4279C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</w:p>
        </w:tc>
      </w:tr>
      <w:tr w:rsidR="008C29CA" w:rsidRPr="00896B16" w:rsidTr="005438EB">
        <w:trPr>
          <w:trHeight w:val="160"/>
        </w:trPr>
        <w:tc>
          <w:tcPr>
            <w:tcW w:w="160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lastRenderedPageBreak/>
              <w:t>Цель 3 «Повышение уровня безопасности и качества автомобильных дорог общего пользования»</w:t>
            </w:r>
          </w:p>
        </w:tc>
      </w:tr>
      <w:tr w:rsidR="008C29CA" w:rsidRPr="00896B16" w:rsidTr="005438EB">
        <w:trPr>
          <w:gridAfter w:val="2"/>
          <w:wAfter w:w="20" w:type="dxa"/>
          <w:trHeight w:val="1266"/>
        </w:trPr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B751AB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9A6599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Уровень зрелости интеллектуальной транспортной системы городской агломерации (от 0 до 5 баллов)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8CD" w:rsidRPr="009A6599" w:rsidRDefault="0049467D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ГП</w:t>
            </w:r>
            <w:r w:rsidR="0083482E" w:rsidRPr="009A6599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AB0754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б</w:t>
            </w:r>
            <w:r w:rsidR="008C29CA"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алл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3C2175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67D" w:rsidRPr="009A6599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постановление Правительства Ханты-Мансийского АО - Югры от 10 ноября 2023 № 559-п</w:t>
            </w:r>
          </w:p>
          <w:p w:rsidR="0049467D" w:rsidRPr="009A6599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«О государственной программе Ханты-Мансийского автономного округа - Югры «Современная транспортная система»</w:t>
            </w:r>
          </w:p>
          <w:p w:rsidR="008708CD" w:rsidRPr="009A6599" w:rsidRDefault="008708CD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9A6599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ДГХ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896B16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9A6599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</w:tbl>
    <w:p w:rsidR="002064EE" w:rsidRPr="00896B16" w:rsidRDefault="002064EE" w:rsidP="002161B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64EE" w:rsidRPr="00896B16" w:rsidRDefault="002064EE" w:rsidP="002161B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482E" w:rsidRPr="00BF3E78" w:rsidRDefault="0083482E" w:rsidP="0083482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F3E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Примечания: </w:t>
      </w:r>
    </w:p>
    <w:p w:rsidR="0083482E" w:rsidRPr="000643E6" w:rsidRDefault="0083482E" w:rsidP="0083482E">
      <w:pPr>
        <w:widowControl w:val="0"/>
        <w:autoSpaceDE w:val="0"/>
        <w:autoSpaceDN w:val="0"/>
        <w:adjustRightInd w:val="0"/>
        <w:spacing w:after="0" w:line="240" w:lineRule="auto"/>
        <w:ind w:left="709" w:right="141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643E6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0643E6">
        <w:rPr>
          <w:rFonts w:ascii="Times New Roman" w:hAnsi="Times New Roman" w:cs="Times New Roman"/>
          <w:color w:val="000000" w:themeColor="text1"/>
        </w:rPr>
        <w:t xml:space="preserve"> - </w:t>
      </w:r>
      <w:r w:rsidRPr="000643E6">
        <w:rPr>
          <w:rFonts w:ascii="Times New Roman" w:hAnsi="Times New Roman" w:cs="Times New Roman"/>
          <w:color w:val="000000" w:themeColor="text1"/>
          <w:sz w:val="24"/>
          <w:szCs w:val="24"/>
        </w:rPr>
        <w:t>методика расчета показателя утверждена постановлением Администрации города от 21.03.2024 № 1293</w:t>
      </w:r>
      <w:r w:rsidR="000643E6" w:rsidRPr="00064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0643E6" w:rsidRPr="000643E6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Об утверждении методики расчета целевых показателей реализации стратегии социально-экономического развития </w:t>
      </w:r>
      <w:r w:rsidR="000643E6" w:rsidRPr="000643E6">
        <w:rPr>
          <w:rStyle w:val="af2"/>
          <w:rFonts w:ascii="Times New Roman" w:hAnsi="Times New Roman" w:cs="Times New Roman"/>
          <w:i w:val="0"/>
          <w:iCs w:val="0"/>
          <w:color w:val="22272F"/>
          <w:sz w:val="24"/>
          <w:szCs w:val="24"/>
          <w:shd w:val="clear" w:color="auto" w:fill="FFFFFF"/>
        </w:rPr>
        <w:t>города</w:t>
      </w:r>
      <w:r w:rsidR="000643E6" w:rsidRPr="000643E6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 Сургута до 2036 года с целевыми ориентирами до 2050 года</w:t>
      </w:r>
      <w:r w:rsidR="000643E6" w:rsidRPr="000643E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643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482E" w:rsidRPr="00BF3E78" w:rsidRDefault="0083482E" w:rsidP="0083482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F3E78">
        <w:rPr>
          <w:rFonts w:ascii="Times New Roman" w:eastAsiaTheme="minorEastAsia" w:hAnsi="Times New Roman" w:cs="Times New Roman"/>
          <w:bCs/>
          <w:color w:val="26282F"/>
          <w:sz w:val="24"/>
          <w:szCs w:val="24"/>
          <w:vertAlign w:val="superscript"/>
          <w:lang w:eastAsia="ru-RU"/>
        </w:rPr>
        <w:t>2</w:t>
      </w:r>
      <w:r w:rsidRPr="00BF3E78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r w:rsidRPr="00BF3E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Стратегия социально-экономического развития города Сургута до 2036 года с целевыми ориентирами до 2050 года.</w:t>
      </w:r>
    </w:p>
    <w:p w:rsidR="0083482E" w:rsidRPr="0083482E" w:rsidRDefault="0083482E" w:rsidP="0083482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F3E78">
        <w:rPr>
          <w:rFonts w:ascii="Times New Roman" w:eastAsiaTheme="minorEastAsia" w:hAnsi="Times New Roman" w:cs="Times New Roman"/>
          <w:bCs/>
          <w:color w:val="26282F"/>
          <w:sz w:val="24"/>
          <w:szCs w:val="24"/>
          <w:vertAlign w:val="superscript"/>
          <w:lang w:eastAsia="ru-RU"/>
        </w:rPr>
        <w:t>3</w:t>
      </w:r>
      <w:r w:rsidRPr="00BF3E78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r w:rsidRPr="00BF3E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государственная программа Ханты-Мансийского автономного округа – Югры</w:t>
      </w:r>
      <w:r w:rsidR="000643E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F3E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3482E" w:rsidRDefault="0083482E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482E" w:rsidRDefault="0083482E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6358" w:rsidRPr="00896B16" w:rsidRDefault="005869AA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>3.</w:t>
      </w:r>
      <w:r w:rsidR="007A7C6B" w:rsidRPr="00896B16">
        <w:rPr>
          <w:rFonts w:ascii="Times New Roman" w:hAnsi="Times New Roman" w:cs="Times New Roman"/>
          <w:sz w:val="28"/>
          <w:szCs w:val="28"/>
        </w:rPr>
        <w:t xml:space="preserve"> </w:t>
      </w:r>
      <w:r w:rsidR="0035434C" w:rsidRPr="00896B16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  <w:r w:rsidR="000643E6">
        <w:rPr>
          <w:rFonts w:ascii="Times New Roman" w:hAnsi="Times New Roman" w:cs="Times New Roman"/>
          <w:sz w:val="28"/>
          <w:szCs w:val="28"/>
        </w:rPr>
        <w:t>.</w:t>
      </w:r>
    </w:p>
    <w:p w:rsidR="00E80B49" w:rsidRPr="00896B16" w:rsidRDefault="00E80B49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6804"/>
        <w:gridCol w:w="4536"/>
      </w:tblGrid>
      <w:tr w:rsidR="00F422B6" w:rsidRPr="00896B16" w:rsidTr="005438EB">
        <w:trPr>
          <w:trHeight w:val="40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896B16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Задачи структурного элемента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896B16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896B16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Связь</w:t>
            </w:r>
            <w:r w:rsidR="009118EE" w:rsidRPr="00896B16">
              <w:rPr>
                <w:rFonts w:ascii="Times New Roman" w:eastAsia="TimesNewRoman" w:hAnsi="Times New Roman" w:cs="Times New Roman"/>
              </w:rPr>
              <w:t xml:space="preserve"> </w:t>
            </w:r>
            <w:r w:rsidRPr="00896B16">
              <w:rPr>
                <w:rFonts w:ascii="Times New Roman" w:eastAsia="TimesNewRoman" w:hAnsi="Times New Roman" w:cs="Times New Roman"/>
              </w:rPr>
              <w:t>с показателями</w:t>
            </w:r>
          </w:p>
        </w:tc>
      </w:tr>
      <w:tr w:rsidR="00F422B6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896B16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896B16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896B16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3</w:t>
            </w:r>
          </w:p>
        </w:tc>
      </w:tr>
      <w:tr w:rsidR="00F422B6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FA" w:rsidRPr="00896B16" w:rsidRDefault="002156FA" w:rsidP="002D21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Структурные элементы, не входящие в направления</w:t>
            </w:r>
          </w:p>
        </w:tc>
      </w:tr>
      <w:tr w:rsidR="00255EFD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F33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1. Муниципальный проект «Проектирование, строительство (реконструкция) автомобильных дорог и внутриквартальных проездов»</w:t>
            </w:r>
            <w:r w:rsidRPr="00896B16">
              <w:rPr>
                <w:rFonts w:ascii="Times New Roman" w:hAnsi="Times New Roman" w:cs="Times New Roman"/>
              </w:rPr>
              <w:t xml:space="preserve"> </w:t>
            </w:r>
            <w:r w:rsidRPr="00896B16">
              <w:rPr>
                <w:rFonts w:ascii="Times New Roman" w:eastAsia="TimesNewRoman" w:hAnsi="Times New Roman" w:cs="Times New Roman"/>
              </w:rPr>
              <w:t>(куратор – Агафонов Сергей Александрович, заместитель Главы города)</w:t>
            </w:r>
          </w:p>
        </w:tc>
      </w:tr>
      <w:tr w:rsidR="00255EFD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lastRenderedPageBreak/>
              <w:t xml:space="preserve">Ответственный за реализацию: 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AB0754" w:rsidP="00064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55EFD" w:rsidRPr="00896B16">
              <w:rPr>
                <w:rFonts w:ascii="Times New Roman" w:hAnsi="Times New Roman" w:cs="Times New Roman"/>
              </w:rPr>
              <w:t xml:space="preserve">рок реализации (2025 </w:t>
            </w:r>
            <w:r w:rsidR="000643E6">
              <w:rPr>
                <w:rFonts w:ascii="Times New Roman" w:hAnsi="Times New Roman" w:cs="Times New Roman"/>
              </w:rPr>
              <w:t xml:space="preserve">– </w:t>
            </w:r>
            <w:r w:rsidR="00255EFD" w:rsidRPr="00896B16">
              <w:rPr>
                <w:rFonts w:ascii="Times New Roman" w:hAnsi="Times New Roman" w:cs="Times New Roman"/>
              </w:rPr>
              <w:t xml:space="preserve"> 20</w:t>
            </w:r>
            <w:r w:rsidR="000F3395">
              <w:rPr>
                <w:rFonts w:ascii="Times New Roman" w:hAnsi="Times New Roman" w:cs="Times New Roman"/>
              </w:rPr>
              <w:t>27</w:t>
            </w:r>
            <w:r w:rsidR="00255EFD" w:rsidRPr="00896B16">
              <w:rPr>
                <w:rFonts w:ascii="Times New Roman" w:hAnsi="Times New Roman" w:cs="Times New Roman"/>
              </w:rPr>
              <w:t>)</w:t>
            </w:r>
          </w:p>
        </w:tc>
      </w:tr>
      <w:tr w:rsidR="00F33E3C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E3C" w:rsidRPr="00896B16" w:rsidRDefault="00F33E3C" w:rsidP="00F33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Задача «Создание условий для комфортного и безопасного проживания в существующих и вновь застраиваемых микрорайонах»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E3C" w:rsidRPr="00896B16" w:rsidRDefault="00F33E3C" w:rsidP="00F33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строительство и реконструкция автомобильных дорог местного значения,</w:t>
            </w:r>
            <w:r w:rsidRPr="00896B16">
              <w:t xml:space="preserve"> </w:t>
            </w:r>
            <w:r w:rsidRPr="00896B16">
              <w:rPr>
                <w:rFonts w:ascii="Times New Roman" w:hAnsi="Times New Roman" w:cs="Times New Roman"/>
              </w:rPr>
              <w:t>в целях социально-экономического развития города;</w:t>
            </w:r>
            <w:r w:rsidRPr="00896B16">
              <w:rPr>
                <w:rFonts w:ascii="Times New Roman" w:hAnsi="Times New Roman" w:cs="Times New Roman"/>
              </w:rPr>
              <w:br/>
              <w:t>- увеличение протяженности в результате строительства (реконструкции) автомобильных дорог общего пользования местного значения на 2,17 км к 2026 году, на 19,505 км к 2031 году, на 38,45 км. к 2036 году;</w:t>
            </w:r>
            <w:r w:rsidRPr="00896B16">
              <w:rPr>
                <w:rFonts w:ascii="Times New Roman" w:hAnsi="Times New Roman" w:cs="Times New Roman"/>
              </w:rPr>
              <w:br/>
              <w:t xml:space="preserve">- в рамках реализации флагманского проекта «Развитие дождевой канализации» строительство и реконструкция 116,21 км сетей дождевой канализации к 2035 году (связь с МП «Развитие жилищной сферы») 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обеспечение строительства внутриквартальных проездов;</w:t>
            </w:r>
            <w:r w:rsidRPr="00896B16">
              <w:rPr>
                <w:rFonts w:ascii="Times New Roman" w:hAnsi="Times New Roman" w:cs="Times New Roman"/>
              </w:rPr>
              <w:br/>
              <w:t>- увеличение протяженности завершенных строительством внутриквартальных проездов на 2,57 м к 2036 году с соблюдением требований по обеспечению условий доступности для инвалидов и иных маломобильных групп населения;</w:t>
            </w:r>
            <w:r w:rsidRPr="00896B16">
              <w:rPr>
                <w:rFonts w:ascii="Times New Roman" w:hAnsi="Times New Roman" w:cs="Times New Roman"/>
              </w:rPr>
              <w:br/>
              <w:t>- реализация Флагманского проекта «Мобильный город» в части строительства велосипедных дорожек в период:</w:t>
            </w:r>
            <w:r w:rsidRPr="00896B16">
              <w:rPr>
                <w:rFonts w:ascii="Times New Roman" w:hAnsi="Times New Roman" w:cs="Times New Roman"/>
              </w:rPr>
              <w:br/>
              <w:t>- 2024 – 2026 годы до 7,13 км;</w:t>
            </w:r>
            <w:r w:rsidRPr="00896B16">
              <w:rPr>
                <w:rFonts w:ascii="Times New Roman" w:hAnsi="Times New Roman" w:cs="Times New Roman"/>
              </w:rPr>
              <w:br/>
              <w:t>- 2027 – 2031 годы до 16,3 км;</w:t>
            </w:r>
            <w:r w:rsidRPr="00896B16">
              <w:rPr>
                <w:rFonts w:ascii="Times New Roman" w:hAnsi="Times New Roman" w:cs="Times New Roman"/>
              </w:rPr>
              <w:br/>
              <w:t>- 2032 – 2036 годы до 8,9 км;</w:t>
            </w:r>
            <w:r w:rsidRPr="00896B16">
              <w:rPr>
                <w:rFonts w:ascii="Times New Roman" w:hAnsi="Times New Roman" w:cs="Times New Roman"/>
              </w:rPr>
              <w:br/>
              <w:t xml:space="preserve">- размещение парковок в новых микрорайонах в соответствии с разработанной документацией по планировке территории, в общем количестве 22,582 тыс. </w:t>
            </w:r>
            <w:proofErr w:type="spellStart"/>
            <w:r w:rsidRPr="00896B16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896B16">
              <w:rPr>
                <w:rFonts w:ascii="Times New Roman" w:hAnsi="Times New Roman" w:cs="Times New Roman"/>
              </w:rPr>
              <w:t>-мест к 2036 году;</w:t>
            </w:r>
            <w:r w:rsidRPr="00896B16">
              <w:rPr>
                <w:rFonts w:ascii="Times New Roman" w:hAnsi="Times New Roman" w:cs="Times New Roman"/>
              </w:rPr>
              <w:br/>
              <w:t xml:space="preserve">- разработка и утверждение к 2026 году программы комплексного развития транспортной инфраструктуры и схемы по развитию велосипедной и пешеходной инфраструктуры города, </w:t>
            </w:r>
            <w:r w:rsidR="00552E4F" w:rsidRPr="00552E4F">
              <w:rPr>
                <w:rFonts w:ascii="Times New Roman" w:hAnsi="Times New Roman" w:cs="Times New Roman"/>
              </w:rPr>
              <w:t>размещению</w:t>
            </w:r>
            <w:r w:rsidRPr="00552E4F">
              <w:rPr>
                <w:rFonts w:ascii="Times New Roman" w:hAnsi="Times New Roman" w:cs="Times New Roman"/>
              </w:rPr>
              <w:t xml:space="preserve"> остановочных пунктов;</w:t>
            </w:r>
            <w:r w:rsidRPr="00896B16">
              <w:rPr>
                <w:rFonts w:ascii="Times New Roman" w:hAnsi="Times New Roman" w:cs="Times New Roman"/>
              </w:rPr>
              <w:br/>
              <w:t>- установка средств организации движения (дорожные знаки, разметка, светофоры, пешеходные переходы), определяется проектом организации движения, включая требования по обеспечению условий доступности для инвалидов и иных маломобильных групп населения;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ликвидация 9 объектов ГКС вместимостью 6,6 тыс. мест;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увеличение доли площади застроенной территории города, находящейся в нормативном радиусе пешеходной доступности от остановочных пунктов до 85 % к 2026 году, 90 % к 2031 году, 95 % к 2036 году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E3C" w:rsidRPr="00896B16" w:rsidRDefault="00AB0754" w:rsidP="00F33E3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</w:t>
            </w:r>
            <w:r w:rsidR="00F33E3C"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в общей протяженности автомобильных дорог общего пользования местного значения;</w:t>
            </w:r>
          </w:p>
          <w:p w:rsidR="00F33E3C" w:rsidRPr="00896B16" w:rsidRDefault="00AB0754" w:rsidP="00F33E3C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>
              <w:rPr>
                <w:rFonts w:ascii="Times New Roman" w:eastAsia="TimesNewRoman" w:hAnsi="Times New Roman" w:cs="Times New Roman"/>
                <w:lang w:eastAsia="zh-CN"/>
              </w:rPr>
              <w:t xml:space="preserve">- </w:t>
            </w:r>
            <w:r w:rsidR="00F33E3C" w:rsidRPr="00896B16">
              <w:rPr>
                <w:rFonts w:ascii="Times New Roman" w:eastAsia="TimesNewRoman" w:hAnsi="Times New Roman" w:cs="Times New Roman"/>
                <w:lang w:eastAsia="zh-CN"/>
              </w:rPr>
              <w:t>удовлетворенность качеством и доступностью автомобильных дорог;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eastAsia="TimesNewRoman" w:hAnsi="Times New Roman" w:cs="Times New Roman"/>
                <w:iCs/>
                <w:lang w:eastAsia="zh-CN"/>
              </w:rPr>
            </w:pPr>
            <w:r w:rsidRPr="00896B16">
              <w:rPr>
                <w:rFonts w:ascii="Times New Roman" w:eastAsia="TimesNewRoman" w:hAnsi="Times New Roman" w:cs="Times New Roman"/>
                <w:iCs/>
                <w:lang w:eastAsia="zh-CN"/>
              </w:rPr>
              <w:t>доля площади территории города, находящаяся в нормативном радиусе пешеходной доступности от остановочных пунктов;</w:t>
            </w:r>
          </w:p>
          <w:p w:rsidR="00AB0754" w:rsidRDefault="00AB0754" w:rsidP="00F33E3C">
            <w:pPr>
              <w:spacing w:after="0" w:line="240" w:lineRule="auto"/>
              <w:rPr>
                <w:rFonts w:ascii="Times New Roman" w:eastAsia="TimesNewRoman" w:hAnsi="Times New Roman" w:cs="Times New Roman"/>
                <w:iCs/>
                <w:lang w:eastAsia="zh-CN"/>
              </w:rPr>
            </w:pPr>
            <w:r>
              <w:rPr>
                <w:rFonts w:ascii="Times New Roman" w:eastAsia="TimesNewRoman" w:hAnsi="Times New Roman" w:cs="Times New Roman"/>
                <w:iCs/>
                <w:lang w:eastAsia="zh-CN"/>
              </w:rPr>
              <w:t xml:space="preserve">- </w:t>
            </w:r>
            <w:r w:rsidR="00F33E3C" w:rsidRPr="00896B16">
              <w:rPr>
                <w:rFonts w:ascii="Times New Roman" w:eastAsia="TimesNewRoman" w:hAnsi="Times New Roman" w:cs="Times New Roman"/>
                <w:iCs/>
                <w:lang w:eastAsia="zh-CN"/>
              </w:rPr>
              <w:t xml:space="preserve">обеспеченность велосипедными дорожками (территории жилой и общественно-деловой застройки) 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 w:rsidRPr="00896B16">
              <w:rPr>
                <w:rFonts w:ascii="Times New Roman" w:eastAsia="TimesNewRoman" w:hAnsi="Times New Roman" w:cs="Times New Roman"/>
                <w:iCs/>
                <w:lang w:eastAsia="zh-CN"/>
              </w:rPr>
              <w:t>(в расчете на квадратный километр)</w:t>
            </w:r>
          </w:p>
          <w:p w:rsidR="00F33E3C" w:rsidRPr="00896B16" w:rsidRDefault="00F33E3C" w:rsidP="00F33E3C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</w:p>
        </w:tc>
      </w:tr>
      <w:tr w:rsidR="00255EFD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lastRenderedPageBreak/>
              <w:t>2. Муниципальный проект «Создание и эксплуатация автомобильных дорог, строительство, реконструкция и эксплуатация объектов наружного освещения улично-дорожной сети города Сургута в рамках реализации концессионных соглашений»</w:t>
            </w:r>
            <w:r w:rsidRPr="00896B16">
              <w:rPr>
                <w:rFonts w:ascii="Times New Roman" w:eastAsia="TimesNewRoman" w:hAnsi="Times New Roman" w:cs="Times New Roman"/>
              </w:rPr>
              <w:t xml:space="preserve"> (куратор – Агафонов Сергей Александрович, заместитель Главы города)</w:t>
            </w:r>
          </w:p>
        </w:tc>
      </w:tr>
      <w:tr w:rsidR="00255EFD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Ответственный за реализацию: ДГХ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AB0754" w:rsidP="00AB07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с</w:t>
            </w:r>
            <w:r w:rsidR="00255EFD" w:rsidRPr="00896B16">
              <w:rPr>
                <w:rFonts w:ascii="Times New Roman" w:eastAsia="Times New Roman" w:hAnsi="Times New Roman" w:cs="Times New Roman"/>
                <w:szCs w:val="24"/>
              </w:rPr>
              <w:t xml:space="preserve">рок реализации (2025 </w:t>
            </w:r>
            <w:r w:rsidR="000643E6">
              <w:rPr>
                <w:rFonts w:ascii="Times New Roman" w:hAnsi="Times New Roman" w:cs="Times New Roman"/>
              </w:rPr>
              <w:t>–</w:t>
            </w:r>
            <w:r w:rsidR="00255EFD" w:rsidRPr="00896B16">
              <w:rPr>
                <w:rFonts w:ascii="Times New Roman" w:eastAsia="Times New Roman" w:hAnsi="Times New Roman" w:cs="Times New Roman"/>
                <w:szCs w:val="24"/>
              </w:rPr>
              <w:t xml:space="preserve"> 2036)</w:t>
            </w:r>
          </w:p>
        </w:tc>
      </w:tr>
      <w:tr w:rsidR="00255EFD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2.1. Задача «Обеспечение улично-дорожной сети города объектами наружного освещения в рамках реализации концессионных соглашений»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- улучшение технического состояния автомобильных дорог общего пользования местного значения;</w:t>
            </w:r>
            <w:r w:rsidRPr="00896B16">
              <w:rPr>
                <w:rFonts w:ascii="Times New Roman" w:eastAsia="Times New Roman" w:hAnsi="Times New Roman" w:cs="Times New Roman"/>
                <w:szCs w:val="24"/>
              </w:rPr>
              <w:br/>
              <w:t>- повышение уровня комфорта и безопасности дорожного движения на сети автомобильных дорог городского округа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255EFD" w:rsidRPr="00896B16" w:rsidRDefault="00255EFD" w:rsidP="00255E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255EFD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2.2. Задача «Создание и эксплуатация автомобильных дорог общего пользования местного значения в рамках реализации концессионных соглашений»</w:t>
            </w:r>
          </w:p>
        </w:tc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255EFD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3. Муниципальный проект «Общесистемные меры развития дорожного хозяйства» (куратор – Агафонов Сергей Александрович, заместитель Главы города)</w:t>
            </w:r>
          </w:p>
        </w:tc>
      </w:tr>
      <w:tr w:rsidR="00255EFD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Ответственный за реализацию: ДГХ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AB0754" w:rsidP="00AB07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55EFD" w:rsidRPr="00896B16">
              <w:rPr>
                <w:rFonts w:ascii="Times New Roman" w:hAnsi="Times New Roman" w:cs="Times New Roman"/>
              </w:rPr>
              <w:t xml:space="preserve">рок реализации (2025 </w:t>
            </w:r>
            <w:r w:rsidR="000643E6">
              <w:rPr>
                <w:rFonts w:ascii="Times New Roman" w:hAnsi="Times New Roman" w:cs="Times New Roman"/>
              </w:rPr>
              <w:t>–</w:t>
            </w:r>
            <w:r w:rsidR="00255EFD" w:rsidRPr="00896B16">
              <w:rPr>
                <w:rFonts w:ascii="Times New Roman" w:hAnsi="Times New Roman" w:cs="Times New Roman"/>
              </w:rPr>
              <w:t xml:space="preserve"> 2026)</w:t>
            </w:r>
          </w:p>
        </w:tc>
      </w:tr>
      <w:tr w:rsidR="00255EFD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 xml:space="preserve">Задача «Внедрение интеллектуальной транспортной системы, предусматривающей автоматизацию процессов управления дорожным движением в </w:t>
            </w:r>
            <w:proofErr w:type="spellStart"/>
            <w:r w:rsidRPr="00896B16">
              <w:rPr>
                <w:rFonts w:ascii="Times New Roman" w:eastAsia="Times New Roman" w:hAnsi="Times New Roman" w:cs="Times New Roman"/>
                <w:szCs w:val="24"/>
              </w:rPr>
              <w:t>Сургутской</w:t>
            </w:r>
            <w:proofErr w:type="spellEnd"/>
            <w:r w:rsidRPr="00896B16">
              <w:rPr>
                <w:rFonts w:ascii="Times New Roman" w:eastAsia="Times New Roman" w:hAnsi="Times New Roman" w:cs="Times New Roman"/>
                <w:szCs w:val="24"/>
              </w:rPr>
              <w:t xml:space="preserve"> городской агломерации»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увеличение пропускной способности на участках дорожного движения, обеспечение безопасности дорожного движения, автоматизация процессов обеспечения дорожного движения и выявления отклонений;</w:t>
            </w:r>
            <w:r w:rsidRPr="00896B16">
              <w:rPr>
                <w:rFonts w:ascii="Times New Roman" w:hAnsi="Times New Roman" w:cs="Times New Roman"/>
              </w:rPr>
              <w:br/>
              <w:t>- предоставление актуализированной информации открытыми геоинформационными сервисами для развития цифровой модели транспортной инфраструктуры города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896B16" w:rsidRDefault="00255EFD" w:rsidP="00255E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уровень зрелости интеллектуальной транспортной системы городской агломерации (от 0 до 5 баллов)</w:t>
            </w:r>
          </w:p>
        </w:tc>
      </w:tr>
      <w:tr w:rsidR="00810484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4. Муниципальный проект «Региональная и местная дорожная сеть»</w:t>
            </w:r>
            <w:r w:rsidRPr="00896B16">
              <w:rPr>
                <w:rFonts w:ascii="Times New Roman" w:hAnsi="Times New Roman" w:cs="Times New Roman"/>
              </w:rPr>
              <w:t xml:space="preserve"> </w:t>
            </w:r>
            <w:r w:rsidRPr="00896B16">
              <w:rPr>
                <w:rFonts w:ascii="Times New Roman" w:eastAsia="TimesNewRoman" w:hAnsi="Times New Roman" w:cs="Times New Roman"/>
              </w:rPr>
              <w:t>(куратор – Агафонов Сергей Александрович, заместитель Главы города)</w:t>
            </w:r>
          </w:p>
        </w:tc>
      </w:tr>
      <w:tr w:rsidR="00810484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Ответственный за реализацию: 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ДГХ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AB0754" w:rsidP="00AB075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10484" w:rsidRPr="00896B16">
              <w:rPr>
                <w:rFonts w:ascii="Times New Roman" w:hAnsi="Times New Roman" w:cs="Times New Roman"/>
              </w:rPr>
              <w:t xml:space="preserve">рок реализации (2025 </w:t>
            </w:r>
            <w:r w:rsidR="00101A18">
              <w:rPr>
                <w:rFonts w:ascii="Times New Roman" w:hAnsi="Times New Roman" w:cs="Times New Roman"/>
              </w:rPr>
              <w:t>–</w:t>
            </w:r>
            <w:r w:rsidR="00810484" w:rsidRPr="00896B16">
              <w:rPr>
                <w:rFonts w:ascii="Times New Roman" w:hAnsi="Times New Roman" w:cs="Times New Roman"/>
              </w:rPr>
              <w:t xml:space="preserve"> 202</w:t>
            </w:r>
            <w:r w:rsidR="0049467D" w:rsidRPr="00896B16">
              <w:rPr>
                <w:rFonts w:ascii="Times New Roman" w:hAnsi="Times New Roman" w:cs="Times New Roman"/>
              </w:rPr>
              <w:t>7</w:t>
            </w:r>
            <w:r w:rsidR="00810484" w:rsidRPr="00896B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10484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Задача «Повышение качества дорожной сети»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улучшение технического состояния автомобильных дорог общего пользования местного значения для обеспечения безопасности и эффективности транспортного обслуживания населения и субъектов экономической деятельности;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повышение уровня комфорта и безопасности дорожного движения на сети автомобильных дорог городского округа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AB075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</w:t>
            </w:r>
            <w:r w:rsidR="00810484"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810484" w:rsidRPr="00896B16" w:rsidRDefault="00AB075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10484" w:rsidRPr="00896B16">
              <w:rPr>
                <w:rFonts w:ascii="Times New Roman" w:hAnsi="Times New Roman" w:cs="Times New Roman"/>
              </w:rPr>
              <w:t>доля дорожной сети в крупнейших городских агломерациях, соответствующая нормативам</w:t>
            </w:r>
          </w:p>
        </w:tc>
      </w:tr>
      <w:tr w:rsidR="00810484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 xml:space="preserve">5. Муниципальный проект </w:t>
            </w:r>
            <w:r w:rsidRPr="00896B16">
              <w:rPr>
                <w:rFonts w:ascii="Times New Roman" w:eastAsia="Times New Roman" w:hAnsi="Times New Roman" w:cs="Times New Roman"/>
                <w:bCs/>
                <w:szCs w:val="24"/>
              </w:rPr>
              <w:t>«Строительство (реконструкция) автомобильных дорог общего пользования местного значения» (куратор – Агафонов Сергей Александрович, заместитель Главы города)</w:t>
            </w:r>
          </w:p>
        </w:tc>
      </w:tr>
      <w:tr w:rsidR="00810484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 xml:space="preserve">Ответственный за реализацию: 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AB0754" w:rsidP="00AB07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10484" w:rsidRPr="00896B16">
              <w:rPr>
                <w:rFonts w:ascii="Times New Roman" w:hAnsi="Times New Roman" w:cs="Times New Roman"/>
              </w:rPr>
              <w:t>рок реа</w:t>
            </w:r>
            <w:r w:rsidR="00101A18">
              <w:rPr>
                <w:rFonts w:ascii="Times New Roman" w:hAnsi="Times New Roman" w:cs="Times New Roman"/>
              </w:rPr>
              <w:t>лизации (2025 –</w:t>
            </w:r>
            <w:r w:rsidR="00810484" w:rsidRPr="00896B16">
              <w:rPr>
                <w:rFonts w:ascii="Times New Roman" w:hAnsi="Times New Roman" w:cs="Times New Roman"/>
              </w:rPr>
              <w:t xml:space="preserve"> 2027)</w:t>
            </w:r>
          </w:p>
        </w:tc>
      </w:tr>
      <w:tr w:rsidR="00810484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Задача «Развитие сети автомобильных дорог местного значения»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строительство и реконструкция автомобильных дорог местного значения в целях социально-экономического развития автономного округа;</w:t>
            </w:r>
            <w:r w:rsidRPr="00896B16">
              <w:rPr>
                <w:rFonts w:ascii="Times New Roman" w:hAnsi="Times New Roman" w:cs="Times New Roman"/>
              </w:rPr>
              <w:br/>
            </w:r>
            <w:r w:rsidRPr="00896B16">
              <w:rPr>
                <w:rFonts w:ascii="Times New Roman" w:hAnsi="Times New Roman" w:cs="Times New Roman"/>
              </w:rPr>
              <w:lastRenderedPageBreak/>
              <w:t>- увеличение протяженности в результате строительства (реконструкции) автомобильных дорог общего пользования местного значения на 1,15 км к 20</w:t>
            </w:r>
            <w:r w:rsidR="00B84FFE">
              <w:rPr>
                <w:rFonts w:ascii="Times New Roman" w:hAnsi="Times New Roman" w:cs="Times New Roman"/>
              </w:rPr>
              <w:t>26 году, на 0,95 км к 2031 году;</w:t>
            </w:r>
            <w:r w:rsidRPr="00896B16">
              <w:rPr>
                <w:rFonts w:ascii="Times New Roman" w:hAnsi="Times New Roman" w:cs="Times New Roman"/>
              </w:rPr>
              <w:t xml:space="preserve"> </w:t>
            </w:r>
          </w:p>
          <w:p w:rsidR="00810484" w:rsidRPr="005317BB" w:rsidRDefault="00810484" w:rsidP="0081048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317BB">
              <w:rPr>
                <w:rFonts w:ascii="Times New Roman" w:hAnsi="Times New Roman" w:cs="Times New Roman"/>
              </w:rPr>
              <w:t xml:space="preserve">- </w:t>
            </w:r>
            <w:r w:rsidR="005317BB" w:rsidRPr="005317BB">
              <w:rPr>
                <w:rFonts w:ascii="Times New Roman" w:hAnsi="Times New Roman" w:cs="Times New Roman"/>
              </w:rPr>
              <w:t xml:space="preserve">строительство и реконструкция 2,09 км сетей дождевой канализации к 2035 году </w:t>
            </w:r>
            <w:r w:rsidRPr="005317BB">
              <w:rPr>
                <w:rFonts w:ascii="Times New Roman" w:hAnsi="Times New Roman" w:cs="Times New Roman"/>
              </w:rPr>
              <w:t>в рамках реализации флагманского проекта «Развитие дождевой канализации» (связь с МП «Развитие жилищной сферы»);</w:t>
            </w:r>
          </w:p>
          <w:p w:rsidR="00810484" w:rsidRPr="00896B16" w:rsidRDefault="00810484" w:rsidP="0081048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317BB">
              <w:rPr>
                <w:rFonts w:ascii="Times New Roman" w:hAnsi="Times New Roman" w:cs="Times New Roman"/>
              </w:rPr>
              <w:t>- реализация Флагманского проекта «Мобильный</w:t>
            </w:r>
            <w:r w:rsidR="005438EB">
              <w:rPr>
                <w:rFonts w:ascii="Times New Roman" w:hAnsi="Times New Roman" w:cs="Times New Roman"/>
              </w:rPr>
              <w:t xml:space="preserve"> </w:t>
            </w:r>
            <w:r w:rsidRPr="00896B16">
              <w:rPr>
                <w:rFonts w:ascii="Times New Roman" w:hAnsi="Times New Roman" w:cs="Times New Roman"/>
              </w:rPr>
              <w:t xml:space="preserve"> город» в части строительства велосипедных дорожек в период с 2024 по 2026 годы до 0,77 км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AB075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- </w:t>
            </w:r>
            <w:r w:rsidR="00810484"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в общей протяженности автомобильных дорог общего пользования местного значения;</w:t>
            </w:r>
          </w:p>
          <w:p w:rsidR="00AB0754" w:rsidRDefault="00AB0754" w:rsidP="00810484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>
              <w:rPr>
                <w:rFonts w:ascii="Times New Roman" w:eastAsia="TimesNewRoman" w:hAnsi="Times New Roman" w:cs="Times New Roman"/>
                <w:lang w:eastAsia="zh-CN"/>
              </w:rPr>
              <w:t xml:space="preserve">- </w:t>
            </w:r>
            <w:r w:rsidR="00810484" w:rsidRPr="00896B16">
              <w:rPr>
                <w:rFonts w:ascii="Times New Roman" w:eastAsia="TimesNewRoman" w:hAnsi="Times New Roman" w:cs="Times New Roman"/>
                <w:lang w:eastAsia="zh-CN"/>
              </w:rPr>
              <w:t xml:space="preserve">удовлетворенность качеством 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 w:rsidRPr="00896B16">
              <w:rPr>
                <w:rFonts w:ascii="Times New Roman" w:eastAsia="TimesNewRoman" w:hAnsi="Times New Roman" w:cs="Times New Roman"/>
                <w:lang w:eastAsia="zh-CN"/>
              </w:rPr>
              <w:t>и доступностью автомобильных дорог;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 w:rsidRPr="00896B16">
              <w:rPr>
                <w:rFonts w:ascii="Times New Roman" w:eastAsia="TimesNewRoman" w:hAnsi="Times New Roman" w:cs="Times New Roman"/>
                <w:iCs/>
                <w:lang w:eastAsia="zh-CN"/>
              </w:rPr>
              <w:t>обеспеченность велосипедными дорожками (территории жилой и общественно-деловой застройки) (в расчете на квадратный километр)</w:t>
            </w:r>
          </w:p>
        </w:tc>
      </w:tr>
      <w:tr w:rsidR="00810484" w:rsidRPr="00896B16" w:rsidTr="005438EB">
        <w:trPr>
          <w:trHeight w:val="291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251E04" w:rsidRDefault="00810484" w:rsidP="002F1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6. Муниципальный проект «Модернизация </w:t>
            </w:r>
            <w:r w:rsidR="002F1218"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>пассажирского</w:t>
            </w:r>
            <w:r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транспорта </w:t>
            </w:r>
            <w:r w:rsidR="002F1218"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общего пользования </w:t>
            </w:r>
            <w:r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>для организации транспортного обслуживания населения в границах городского округа</w:t>
            </w:r>
            <w:r w:rsidR="002F1218"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Сургут</w:t>
            </w:r>
            <w:r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>» (куратор –</w:t>
            </w:r>
            <w:r w:rsidR="002F1218"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251E0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251E04">
              <w:rPr>
                <w:rFonts w:ascii="Times New Roman" w:eastAsia="TimesNewRoman" w:hAnsi="Times New Roman" w:cs="Times New Roman"/>
              </w:rPr>
              <w:t>Агафонов Сергей Александрович, заместитель Главы города)</w:t>
            </w:r>
          </w:p>
        </w:tc>
      </w:tr>
      <w:tr w:rsidR="00810484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 xml:space="preserve">Ответственный за реализацию: 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AB0754" w:rsidP="00AB07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01A18">
              <w:rPr>
                <w:rFonts w:ascii="Times New Roman" w:hAnsi="Times New Roman" w:cs="Times New Roman"/>
              </w:rPr>
              <w:t xml:space="preserve">рок реализации (2025 – </w:t>
            </w:r>
            <w:r w:rsidR="00810484" w:rsidRPr="00896B16">
              <w:rPr>
                <w:rFonts w:ascii="Times New Roman" w:hAnsi="Times New Roman" w:cs="Times New Roman"/>
              </w:rPr>
              <w:t>2027)</w:t>
            </w:r>
          </w:p>
        </w:tc>
      </w:tr>
      <w:tr w:rsidR="00810484" w:rsidRPr="00896B16" w:rsidTr="005438EB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r w:rsidRPr="00896B16">
              <w:rPr>
                <w:rFonts w:ascii="Times New Roman" w:eastAsia="Times New Roman" w:hAnsi="Times New Roman" w:cs="Times New Roman"/>
                <w:szCs w:val="24"/>
              </w:rPr>
              <w:t>Задача «</w:t>
            </w:r>
            <w:r w:rsidRPr="00896B16">
              <w:rPr>
                <w:rFonts w:ascii="Times New Roman" w:hAnsi="Times New Roman" w:cs="Times New Roman"/>
              </w:rPr>
              <w:t>Обновление и модернизация объектов транспортной инфраструктуры»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101A18" w:rsidRDefault="00101A18" w:rsidP="00101A18">
            <w:pPr>
              <w:rPr>
                <w:rFonts w:ascii="Times New Roman" w:hAnsi="Times New Roman" w:cs="Times New Roman"/>
              </w:rPr>
            </w:pPr>
            <w:r w:rsidRPr="00101A18">
              <w:rPr>
                <w:rFonts w:ascii="Times New Roman" w:hAnsi="Times New Roman" w:cs="Times New Roman"/>
              </w:rPr>
              <w:t xml:space="preserve">- </w:t>
            </w:r>
            <w:r w:rsidRPr="00101A18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</w:t>
            </w:r>
            <w:r w:rsidRPr="00101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общего транспорта </w:t>
            </w:r>
            <w:r w:rsidRPr="00101A18">
              <w:rPr>
                <w:rFonts w:ascii="Times New Roman" w:hAnsi="Times New Roman" w:cs="Times New Roman"/>
                <w:sz w:val="24"/>
                <w:szCs w:val="24"/>
              </w:rPr>
              <w:t xml:space="preserve">для организации транспортного обслуживания населения в границах городского округа Сургут Ханты-Мансийского автономного округа – Югры в целях </w:t>
            </w:r>
            <w:r w:rsidRPr="00101A18">
              <w:rPr>
                <w:rFonts w:ascii="Times New Roman" w:hAnsi="Times New Roman" w:cs="Times New Roman"/>
              </w:rPr>
              <w:t xml:space="preserve">развития современной транспортной инфраструктуры, обеспечивающей повышение доступности и безопасности услуг транспортного комплекса для населения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</w:p>
        </w:tc>
      </w:tr>
      <w:tr w:rsidR="00810484" w:rsidRPr="00896B16" w:rsidTr="005438EB">
        <w:trPr>
          <w:trHeight w:val="297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7. Комплекс процессных мероприятий «Организация обеспечения населения услугами по перевозке пассажиров транспортом общего пользования» </w:t>
            </w:r>
          </w:p>
        </w:tc>
      </w:tr>
      <w:tr w:rsidR="00810484" w:rsidRPr="00896B16" w:rsidTr="005438EB">
        <w:trPr>
          <w:trHeight w:val="18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Ответственный за реализацию: </w:t>
            </w:r>
            <w:r w:rsidRPr="00896B16">
              <w:rPr>
                <w:rFonts w:ascii="Times New Roman" w:eastAsiaTheme="minorEastAsia" w:hAnsi="Times New Roman" w:cs="Times New Roman"/>
                <w:lang w:eastAsia="ru-RU"/>
              </w:rPr>
              <w:t>ДГХ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896B16">
              <w:rPr>
                <w:rFonts w:ascii="Times New Roman" w:eastAsia="TimesNewRoman" w:hAnsi="Times New Roman" w:cs="Times New Roman"/>
                <w:bCs/>
              </w:rPr>
              <w:t>-</w:t>
            </w:r>
          </w:p>
        </w:tc>
      </w:tr>
      <w:tr w:rsidR="00810484" w:rsidRPr="00896B16" w:rsidTr="005438EB">
        <w:trPr>
          <w:trHeight w:val="60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Задача «Развитие устойчиво функционирующей, привлекательной и доступной для всех слоев населения системы городского пассажирского транспорта»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обеспечение населения услугами по перевозке пассажиров транспортом общего пользования;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 xml:space="preserve">- повышение уровня комфорта, эффективности работы подвижного состава, регулярности движения автобусов и обеспечения безопасности движения; </w:t>
            </w:r>
          </w:p>
          <w:p w:rsidR="00810484" w:rsidRPr="00896B16" w:rsidRDefault="00810484" w:rsidP="00B84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оптимизация структуры и обновление парка подвижного состава:</w:t>
            </w:r>
            <w:r w:rsidRPr="00896B16">
              <w:rPr>
                <w:rFonts w:ascii="Times New Roman" w:hAnsi="Times New Roman" w:cs="Times New Roman"/>
              </w:rPr>
              <w:br/>
              <w:t xml:space="preserve">этап I: 01.01.2025 </w:t>
            </w:r>
            <w:r w:rsidR="00101A18">
              <w:rPr>
                <w:rFonts w:ascii="Times New Roman" w:hAnsi="Times New Roman" w:cs="Times New Roman"/>
              </w:rPr>
              <w:t>–</w:t>
            </w:r>
            <w:r w:rsidRPr="00896B16">
              <w:rPr>
                <w:rFonts w:ascii="Times New Roman" w:hAnsi="Times New Roman" w:cs="Times New Roman"/>
              </w:rPr>
              <w:t xml:space="preserve"> 31.12.2026 – 33 маршрута</w:t>
            </w:r>
            <w:r w:rsidR="00775679" w:rsidRPr="00896B16">
              <w:rPr>
                <w:rFonts w:ascii="Times New Roman" w:hAnsi="Times New Roman" w:cs="Times New Roman"/>
              </w:rPr>
              <w:t>;</w:t>
            </w:r>
            <w:r w:rsidR="00101A18">
              <w:rPr>
                <w:rFonts w:ascii="Times New Roman" w:hAnsi="Times New Roman" w:cs="Times New Roman"/>
              </w:rPr>
              <w:br/>
              <w:t>этап II: 01.01.2027 –</w:t>
            </w:r>
            <w:r w:rsidRPr="00896B16">
              <w:rPr>
                <w:rFonts w:ascii="Times New Roman" w:hAnsi="Times New Roman" w:cs="Times New Roman"/>
              </w:rPr>
              <w:t xml:space="preserve"> 31.12.2031 – 35 маршрутов</w:t>
            </w:r>
            <w:r w:rsidR="00775679" w:rsidRPr="00896B16">
              <w:rPr>
                <w:rFonts w:ascii="Times New Roman" w:hAnsi="Times New Roman" w:cs="Times New Roman"/>
              </w:rPr>
              <w:t>;</w:t>
            </w:r>
            <w:r w:rsidRPr="00896B16">
              <w:rPr>
                <w:rFonts w:ascii="Times New Roman" w:hAnsi="Times New Roman" w:cs="Times New Roman"/>
              </w:rPr>
              <w:br/>
              <w:t xml:space="preserve">этап III: 01.01.2032 </w:t>
            </w:r>
            <w:r w:rsidR="00101A18">
              <w:rPr>
                <w:rFonts w:ascii="Times New Roman" w:hAnsi="Times New Roman" w:cs="Times New Roman"/>
              </w:rPr>
              <w:t>–</w:t>
            </w:r>
            <w:r w:rsidRPr="00896B16">
              <w:rPr>
                <w:rFonts w:ascii="Times New Roman" w:hAnsi="Times New Roman" w:cs="Times New Roman"/>
              </w:rPr>
              <w:t xml:space="preserve"> 31.12.2036 – 37 маршрутов</w:t>
            </w:r>
            <w:r w:rsidR="00775679" w:rsidRPr="00896B16">
              <w:rPr>
                <w:rFonts w:ascii="Times New Roman" w:hAnsi="Times New Roman" w:cs="Times New Roman"/>
              </w:rPr>
              <w:t>;</w:t>
            </w:r>
            <w:r w:rsidRPr="00896B16">
              <w:rPr>
                <w:rFonts w:ascii="Times New Roman" w:hAnsi="Times New Roman" w:cs="Times New Roman"/>
              </w:rPr>
              <w:br/>
              <w:t>- доля транспортных средств (автобусы), соответствующих техническим характеристикам, %:</w:t>
            </w:r>
            <w:r w:rsidRPr="00896B16">
              <w:rPr>
                <w:rFonts w:ascii="Times New Roman" w:hAnsi="Times New Roman" w:cs="Times New Roman"/>
              </w:rPr>
              <w:br/>
              <w:t>- 2024 – 2026 до 73%;</w:t>
            </w:r>
            <w:r w:rsidRPr="00896B16">
              <w:rPr>
                <w:rFonts w:ascii="Times New Roman" w:hAnsi="Times New Roman" w:cs="Times New Roman"/>
              </w:rPr>
              <w:br/>
              <w:t>- 2027 – 2031 до 79%;</w:t>
            </w:r>
            <w:r w:rsidRPr="00896B16">
              <w:rPr>
                <w:rFonts w:ascii="Times New Roman" w:hAnsi="Times New Roman" w:cs="Times New Roman"/>
              </w:rPr>
              <w:br/>
              <w:t>- 2032 – 2036 до 84%;</w:t>
            </w:r>
            <w:r w:rsidRPr="00896B16">
              <w:rPr>
                <w:rFonts w:ascii="Times New Roman" w:hAnsi="Times New Roman" w:cs="Times New Roman"/>
              </w:rPr>
              <w:br/>
            </w:r>
            <w:r w:rsidRPr="00896B16">
              <w:rPr>
                <w:rFonts w:ascii="Times New Roman" w:hAnsi="Times New Roman" w:cs="Times New Roman"/>
              </w:rPr>
              <w:lastRenderedPageBreak/>
              <w:t>- пунктуальность транспортного обслуживания – 96%; Ежегодное число погибших и раненых в ДТП с участием пассажирского транспорта – 0 человек;</w:t>
            </w:r>
            <w:r w:rsidRPr="00896B16">
              <w:rPr>
                <w:rFonts w:ascii="Times New Roman" w:hAnsi="Times New Roman" w:cs="Times New Roman"/>
              </w:rPr>
              <w:br/>
              <w:t>- организация мероприятия по созданию уникального стиля отдельных элементов транспортной инфраструктуры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удовлетворенность качеством транспортного обслуживания пассажирским транспортом общего пользования</w:t>
            </w:r>
          </w:p>
        </w:tc>
      </w:tr>
      <w:tr w:rsidR="00810484" w:rsidRPr="00896B16" w:rsidTr="005438EB">
        <w:trPr>
          <w:trHeight w:val="322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8. Комплекс процессных мероприятий </w:t>
            </w:r>
            <w:r w:rsidRPr="00896B16">
              <w:rPr>
                <w:rFonts w:ascii="Times New Roman" w:eastAsiaTheme="minorEastAsia" w:hAnsi="Times New Roman" w:cs="Times New Roman"/>
                <w:bCs/>
                <w:lang w:eastAsia="ru-RU"/>
              </w:rPr>
              <w:t>«Обеспечение функционирования сети автомобильных дорог общего пользования местного значения»</w:t>
            </w:r>
          </w:p>
        </w:tc>
      </w:tr>
      <w:tr w:rsidR="00810484" w:rsidRPr="00896B16" w:rsidTr="005438EB">
        <w:trPr>
          <w:trHeight w:val="13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B16">
              <w:rPr>
                <w:rFonts w:ascii="Times New Roman" w:eastAsia="TimesNew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484" w:rsidRPr="00896B16" w:rsidTr="005438EB">
        <w:trPr>
          <w:trHeight w:val="99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8.1. Задача «Комплексное содержание автомобильных дорог, искусственных сооружений»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поддержание надлежащего технического состояния автомобильных дорог и дородных сооружений в соответствии с требованиями, допустимыми по условиям обеспечения безопасного дорожного движения.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Выполнение механизированной уборки автомобильных дорог, тротуаров и искусственных сооружений.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Установка теплых остановочных павильонов, доля теплых остановочных павильонов, %: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к 2026 году до 20%;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 xml:space="preserve">- к 2031 году до 37%; 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 к 2036 году до 53%.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Организовано и поддерживается освещение городских территорий, а именно в части улично-дорожной сети города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удовлетворенность качеством и доступностью автомобильных дорог;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484" w:rsidRPr="00896B16" w:rsidTr="005438EB">
        <w:trPr>
          <w:trHeight w:val="99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8.2. Задача «Создание условий для обеспечения безопасности участников дорожного движения»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076B0A" w:rsidRDefault="00AB0754" w:rsidP="00101A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6B0A">
              <w:rPr>
                <w:rFonts w:ascii="Times New Roman" w:hAnsi="Times New Roman" w:cs="Times New Roman"/>
              </w:rPr>
              <w:t>п</w:t>
            </w:r>
            <w:r w:rsidR="00810484" w:rsidRPr="00076B0A">
              <w:rPr>
                <w:rFonts w:ascii="Times New Roman" w:hAnsi="Times New Roman" w:cs="Times New Roman"/>
              </w:rPr>
              <w:t>риобретение, установка и модернизация системы видеонаблюдения для фиксации нарушений правил дорожного движения на аварийно-опасных участках автомобильных дорог местного значения:</w:t>
            </w:r>
            <w:r w:rsidR="00810484" w:rsidRPr="00076B0A">
              <w:rPr>
                <w:rFonts w:ascii="Times New Roman" w:hAnsi="Times New Roman" w:cs="Times New Roman"/>
              </w:rPr>
              <w:br/>
              <w:t xml:space="preserve">этап I: 01.01.2025 </w:t>
            </w:r>
            <w:r w:rsidR="00101A18">
              <w:rPr>
                <w:rFonts w:ascii="Times New Roman" w:hAnsi="Times New Roman" w:cs="Times New Roman"/>
              </w:rPr>
              <w:t>–</w:t>
            </w:r>
            <w:r w:rsidR="00810484" w:rsidRPr="00076B0A">
              <w:rPr>
                <w:rFonts w:ascii="Times New Roman" w:hAnsi="Times New Roman" w:cs="Times New Roman"/>
              </w:rPr>
              <w:t xml:space="preserve"> 31.12.2026 – 10 систем видеонаблюдения для фиксации нарушений правил дорожного</w:t>
            </w:r>
            <w:r w:rsidR="00101A18">
              <w:rPr>
                <w:rFonts w:ascii="Times New Roman" w:hAnsi="Times New Roman" w:cs="Times New Roman"/>
              </w:rPr>
              <w:t xml:space="preserve"> движения;</w:t>
            </w:r>
            <w:r w:rsidR="00101A18">
              <w:rPr>
                <w:rFonts w:ascii="Times New Roman" w:hAnsi="Times New Roman" w:cs="Times New Roman"/>
              </w:rPr>
              <w:br/>
              <w:t>этап II: 01.01.2027 –</w:t>
            </w:r>
            <w:r w:rsidR="00810484" w:rsidRPr="00076B0A">
              <w:rPr>
                <w:rFonts w:ascii="Times New Roman" w:hAnsi="Times New Roman" w:cs="Times New Roman"/>
              </w:rPr>
              <w:t xml:space="preserve"> 31.12.2031 – 25 систем видеонаблюдения для фиксации нарушений правил дорожного движения;</w:t>
            </w:r>
            <w:r w:rsidR="00810484" w:rsidRPr="00076B0A">
              <w:rPr>
                <w:rFonts w:ascii="Times New Roman" w:hAnsi="Times New Roman" w:cs="Times New Roman"/>
              </w:rPr>
              <w:br/>
              <w:t xml:space="preserve">этап III: 01.01.2032 </w:t>
            </w:r>
            <w:r w:rsidR="00101A18">
              <w:rPr>
                <w:rFonts w:ascii="Times New Roman" w:hAnsi="Times New Roman" w:cs="Times New Roman"/>
              </w:rPr>
              <w:t>–</w:t>
            </w:r>
            <w:r w:rsidR="00810484" w:rsidRPr="00076B0A">
              <w:rPr>
                <w:rFonts w:ascii="Times New Roman" w:hAnsi="Times New Roman" w:cs="Times New Roman"/>
              </w:rPr>
              <w:t xml:space="preserve"> 31.12.2036 – 25 систем видеонаблюдения для фиксации нарушений правил дорожного движения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удовлетворенность качеством и доступностью автомобильных дорог;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484" w:rsidRPr="00896B16" w:rsidTr="005438EB">
        <w:trPr>
          <w:trHeight w:val="77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9. Комплекс процессных мероприятий «Создание условий для развития транспортной инфраструктуры»</w:t>
            </w:r>
          </w:p>
        </w:tc>
      </w:tr>
      <w:tr w:rsidR="00810484" w:rsidRPr="00896B16" w:rsidTr="005438EB">
        <w:trPr>
          <w:trHeight w:val="7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Ответственный за реализацию: 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>-</w:t>
            </w:r>
          </w:p>
        </w:tc>
      </w:tr>
      <w:tr w:rsidR="00810484" w:rsidRPr="00896B16" w:rsidTr="005438EB">
        <w:trPr>
          <w:trHeight w:val="7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Задача «Развитие инфраструктуры внешнего пассажирского транспорта и транспортно-логистических комплексов»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реализация документации по планировке территории в части реконструкции привокзальной площади и строительства перехватывающей стоянки в 2024 году;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- реализация документации по планировке территории в части реконструкции </w:t>
            </w:r>
            <w:proofErr w:type="spellStart"/>
            <w:r w:rsidRPr="00896B16">
              <w:rPr>
                <w:rFonts w:ascii="Times New Roman" w:eastAsia="TimesNewRoman" w:hAnsi="Times New Roman" w:cs="Times New Roman"/>
              </w:rPr>
              <w:t>приаэропортовой</w:t>
            </w:r>
            <w:proofErr w:type="spellEnd"/>
            <w:r w:rsidRPr="00896B16">
              <w:rPr>
                <w:rFonts w:ascii="Times New Roman" w:eastAsia="TimesNewRoman" w:hAnsi="Times New Roman" w:cs="Times New Roman"/>
              </w:rPr>
              <w:t xml:space="preserve"> территории в 2027 году;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lastRenderedPageBreak/>
              <w:t>- формирование сведений о свободных инвестиционных площадках по созданию крупных транспортно-логистических комплексов к 2027 году – 4 объекта;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утверждение корректировок в документах территориального планирования к 2026 году – не менее 1 проекта, содержащего корректировки для 1 объекта, к 2036 году не менее 1 проекта, содержащего корректировки для 4 объектов;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утверждение корректировок в программу комплексного развития транспортной инфраструктуры к 2026 году;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реализация документации по разработке проекта строительства здания речного вокзала и создания инфраструктуры к 2031 году – 1 проект;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наличие транспортно-пересадочных узлов (аэропорт, автовокзал, ж/д вокзал) к 2026 году – 1 объект, к 2031 году – 2 объекта;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 xml:space="preserve">- создание транспортно-логистических комплексов на площадках, примыкающих к планируемой автомобильной дороге регионального значения со строительством мостового перехода через реку Обь (с восточной стороны) в районе примыкания к восточной объездной дороге: 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к 2031 году – 1 объект;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к 2036 году – 4 объекта;</w:t>
            </w:r>
          </w:p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NewRoman" w:hAnsi="Times New Roman" w:cs="Times New Roman"/>
              </w:rPr>
              <w:t>- создание речного вокзала с развитой инфраструктурой речных перевозок – 1 объект к 2036 году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AB0754" w:rsidP="00810484">
            <w:pPr>
              <w:spacing w:after="0" w:line="240" w:lineRule="auto"/>
              <w:rPr>
                <w:rFonts w:ascii="Times New Roman" w:eastAsia="TimesNewRoman" w:hAnsi="Times New Roman" w:cs="Times New Roman"/>
                <w:lang w:eastAsia="zh-CN"/>
              </w:rPr>
            </w:pPr>
            <w:r>
              <w:rPr>
                <w:rFonts w:ascii="Times New Roman" w:eastAsia="TimesNewRoman" w:hAnsi="Times New Roman" w:cs="Times New Roman"/>
                <w:lang w:eastAsia="zh-CN"/>
              </w:rPr>
              <w:lastRenderedPageBreak/>
              <w:t xml:space="preserve">- </w:t>
            </w:r>
            <w:r w:rsidR="00810484" w:rsidRPr="00896B16">
              <w:rPr>
                <w:rFonts w:ascii="Times New Roman" w:eastAsia="TimesNewRoman" w:hAnsi="Times New Roman" w:cs="Times New Roman"/>
                <w:lang w:eastAsia="zh-CN"/>
              </w:rPr>
              <w:t>удовлетворенность качеством и доступностью автомобильных дорог;</w:t>
            </w:r>
          </w:p>
          <w:p w:rsidR="00810484" w:rsidRPr="00896B16" w:rsidRDefault="00B84FFE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</w:t>
            </w:r>
            <w:r w:rsidR="00810484"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наличие транспортно-пересадочных узлов (аэропорт, автовокзал, ж/д вокзал);</w:t>
            </w:r>
          </w:p>
          <w:p w:rsidR="00810484" w:rsidRPr="00896B16" w:rsidRDefault="00AB075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</w:t>
            </w:r>
            <w:r w:rsidR="00810484"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наличие крупных транспортно-логистических комплексов;</w:t>
            </w:r>
          </w:p>
          <w:p w:rsidR="00810484" w:rsidRPr="00896B16" w:rsidRDefault="00AB075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- </w:t>
            </w:r>
            <w:r w:rsidR="00810484"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t>наличие речного вокзала с развитой инфраструктурой речных перевозок</w:t>
            </w:r>
          </w:p>
        </w:tc>
      </w:tr>
      <w:tr w:rsidR="00810484" w:rsidRPr="00896B16" w:rsidTr="005438EB">
        <w:trPr>
          <w:trHeight w:val="383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96B16">
              <w:rPr>
                <w:rFonts w:ascii="Times New Roman" w:hAnsi="Times New Roman" w:cs="Times New Roman"/>
                <w:szCs w:val="24"/>
              </w:rPr>
              <w:lastRenderedPageBreak/>
              <w:t>10. Комплекс процессных мероприятий «Обеспечение деятельности структурных подразделений Администрации города, казенных учреждений»</w:t>
            </w:r>
          </w:p>
        </w:tc>
      </w:tr>
      <w:tr w:rsidR="00810484" w:rsidRPr="00896B16" w:rsidTr="005438EB">
        <w:trPr>
          <w:trHeight w:val="7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Ответственный за реализацию: ДГХ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-</w:t>
            </w:r>
          </w:p>
        </w:tc>
      </w:tr>
      <w:tr w:rsidR="00810484" w:rsidRPr="00896B16" w:rsidTr="005438EB">
        <w:trPr>
          <w:trHeight w:val="5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Задача «Обеспечение выполнения функций муниципального казенного учреждения «Дирекция дорожно-транспортного и жилищно-коммунального комплекса»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810484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обеспечение деятельности по управлению объектами дорожного хозяйства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896B16" w:rsidRDefault="00810484" w:rsidP="00AB07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-</w:t>
            </w:r>
          </w:p>
        </w:tc>
      </w:tr>
      <w:tr w:rsidR="00810484" w:rsidRPr="00896B16" w:rsidTr="005438EB">
        <w:trPr>
          <w:trHeight w:val="77"/>
        </w:trPr>
        <w:tc>
          <w:tcPr>
            <w:tcW w:w="1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11. Комплекс процессных мероприятий «Капитальный ремонт и ремонт автомобильных дорог»</w:t>
            </w:r>
          </w:p>
        </w:tc>
      </w:tr>
      <w:tr w:rsidR="00810484" w:rsidRPr="00896B16" w:rsidTr="005438EB">
        <w:trPr>
          <w:trHeight w:val="2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Ответственный за реализацию: ДГХ</w:t>
            </w:r>
          </w:p>
        </w:tc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225EA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-</w:t>
            </w:r>
          </w:p>
        </w:tc>
      </w:tr>
      <w:tr w:rsidR="00810484" w:rsidRPr="00896B16" w:rsidTr="005438EB">
        <w:trPr>
          <w:trHeight w:val="5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896B16">
              <w:rPr>
                <w:rFonts w:ascii="Times New Roman" w:eastAsia="Times New Roman" w:hAnsi="Times New Roman" w:cs="Times New Roman"/>
                <w:szCs w:val="24"/>
              </w:rPr>
              <w:t>Задача «Проведение капитального ремонта и ремонта автомобильных дорог»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B84FFE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hAnsi="Times New Roman" w:cs="Times New Roman"/>
              </w:rPr>
              <w:t xml:space="preserve">- обеспечение соответствия сети автомобильных дорог местного значения, нормативным требованиям в результате капитального ремонта и ремонта автомобильных дорог и искусственных сооружений на них, улучшения технических характеристик автомобильных дорог; </w:t>
            </w:r>
            <w:r w:rsidRPr="00896B16">
              <w:rPr>
                <w:rFonts w:ascii="Times New Roman" w:hAnsi="Times New Roman" w:cs="Times New Roman"/>
              </w:rPr>
              <w:br/>
              <w:t xml:space="preserve">- увеличение в результате капитального ремонта и ремонта протяженности сети дорог местного значения соответствующих </w:t>
            </w:r>
            <w:r w:rsidRPr="00896B16">
              <w:rPr>
                <w:rFonts w:ascii="Times New Roman" w:hAnsi="Times New Roman" w:cs="Times New Roman"/>
              </w:rPr>
              <w:lastRenderedPageBreak/>
              <w:t xml:space="preserve">нормативным требованиям к транспортно-эксплуатационным показателям на 12 км к 2036 году; </w:t>
            </w:r>
            <w:r w:rsidRPr="00896B16">
              <w:rPr>
                <w:rFonts w:ascii="Times New Roman" w:hAnsi="Times New Roman" w:cs="Times New Roman"/>
              </w:rPr>
              <w:br/>
              <w:t>- обеспечение более комфортных условий для проживания населения, повышение уровня удовлетворенности жителей качеством автомобильных дорог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896B16" w:rsidRDefault="00810484" w:rsidP="008104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B1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810484" w:rsidRPr="00896B16" w:rsidRDefault="00810484" w:rsidP="008104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1F207B" w:rsidRPr="00896B16" w:rsidRDefault="001F207B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3C2175" w:rsidRPr="00896B16" w:rsidRDefault="003C2175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879EA" w:rsidRPr="00896B16" w:rsidRDefault="007A7C6B" w:rsidP="002D2147">
      <w:pPr>
        <w:spacing w:after="0" w:line="240" w:lineRule="auto"/>
        <w:ind w:left="709"/>
        <w:rPr>
          <w:rFonts w:ascii="Times New Roman" w:hAnsi="Times New Roman" w:cs="Times New Roman"/>
          <w:color w:val="FF0000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>4</w:t>
      </w:r>
      <w:r w:rsidR="00E879EA" w:rsidRPr="00896B16">
        <w:rPr>
          <w:rFonts w:ascii="Times New Roman" w:hAnsi="Times New Roman" w:cs="Times New Roman"/>
          <w:sz w:val="28"/>
          <w:szCs w:val="28"/>
        </w:rPr>
        <w:t>. Финансовое обеспечение муниципальной программы</w:t>
      </w:r>
      <w:r w:rsidR="00101A18">
        <w:rPr>
          <w:rFonts w:ascii="Times New Roman" w:hAnsi="Times New Roman" w:cs="Times New Roman"/>
          <w:sz w:val="28"/>
          <w:szCs w:val="28"/>
        </w:rPr>
        <w:t>.</w:t>
      </w:r>
      <w:r w:rsidR="00D6336D" w:rsidRPr="00896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B49" w:rsidRPr="00896B16" w:rsidRDefault="00E80B49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outside" w:tblpY="1"/>
        <w:tblOverlap w:val="never"/>
        <w:tblW w:w="1587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1065"/>
        <w:gridCol w:w="993"/>
        <w:gridCol w:w="992"/>
        <w:gridCol w:w="850"/>
        <w:gridCol w:w="941"/>
        <w:gridCol w:w="966"/>
        <w:gridCol w:w="967"/>
        <w:gridCol w:w="966"/>
        <w:gridCol w:w="966"/>
        <w:gridCol w:w="966"/>
        <w:gridCol w:w="966"/>
        <w:gridCol w:w="966"/>
        <w:gridCol w:w="1935"/>
      </w:tblGrid>
      <w:tr w:rsidR="00F422B6" w:rsidRPr="00F23721" w:rsidTr="002A0326">
        <w:trPr>
          <w:trHeight w:val="336"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3539" w:type="dxa"/>
            <w:gridSpan w:val="1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80B49" w:rsidRPr="00F23721" w:rsidRDefault="00E80B49" w:rsidP="0069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 xml:space="preserve">Объем финансового обеспечения по годам реализации, </w:t>
            </w:r>
            <w:r w:rsidR="00690A68" w:rsidRPr="00F23721">
              <w:rPr>
                <w:rFonts w:ascii="Times New Roman" w:eastAsia="TimesNewRoman" w:hAnsi="Times New Roman" w:cs="Times New Roman"/>
              </w:rPr>
              <w:t>руб.</w:t>
            </w:r>
          </w:p>
        </w:tc>
      </w:tr>
      <w:tr w:rsidR="00F422B6" w:rsidRPr="00F23721" w:rsidTr="002A0326">
        <w:trPr>
          <w:trHeight w:val="336"/>
        </w:trPr>
        <w:tc>
          <w:tcPr>
            <w:tcW w:w="23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2028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2029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2036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Всего</w:t>
            </w:r>
          </w:p>
        </w:tc>
      </w:tr>
      <w:tr w:rsidR="00F422B6" w:rsidRPr="00F23721" w:rsidTr="002A0326">
        <w:trPr>
          <w:trHeight w:val="272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11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12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13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F23721" w:rsidRDefault="00E80B4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NewRoman" w:hAnsi="Times New Roman" w:cs="Times New Roman"/>
              </w:rPr>
              <w:t>14</w:t>
            </w:r>
          </w:p>
        </w:tc>
      </w:tr>
      <w:tr w:rsidR="007771A6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7771A6" w:rsidRPr="00F23721" w:rsidRDefault="007771A6" w:rsidP="007771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«Развитие транспортной системы город</w:t>
            </w:r>
            <w:r w:rsidR="00B84FFE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а Сургута» (всего), в том числе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333189" w:rsidP="00333189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9 141            897 475,40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333189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6 854    277 434,05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333189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6 712               905 651,65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5 127 137 000,00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5 306 933 000,00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5 493 920 000,00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5 688 387 000,00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5 890 632 997,00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6 100 968 000,00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6 319 717 000,00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6 547 217 000,00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6 783 815 000,00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75</w:t>
            </w:r>
            <w:r w:rsidR="00503170" w:rsidRPr="00F23721">
              <w:rPr>
                <w:rFonts w:ascii="Times New Roman" w:hAnsi="Times New Roman" w:cs="Times New Roman"/>
              </w:rPr>
              <w:t> 967 807 558,10</w:t>
            </w:r>
          </w:p>
        </w:tc>
      </w:tr>
      <w:tr w:rsidR="00503170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503170" w:rsidRPr="00F23721" w:rsidRDefault="00503170" w:rsidP="00503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9 141            897 475,40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6 854    277 434,05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6 712               905 651,65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5 127 137 000,00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5 306 933 000,00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5 493 920 000,00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5 688 387 000,00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5 890 632 997,00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6 100 968 000,00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6 319 717 000,00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6 547 217 000,00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6 783 815 000,00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170" w:rsidRPr="00F23721" w:rsidRDefault="00503170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75 967 807 558,10</w:t>
            </w:r>
          </w:p>
        </w:tc>
      </w:tr>
      <w:tr w:rsidR="007771A6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7771A6" w:rsidRPr="00F23721" w:rsidRDefault="007771A6" w:rsidP="007771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11 162 400,00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35 884 100,00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35 500 700,00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1A6" w:rsidRPr="00F23721" w:rsidRDefault="002A032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82 547 200,00</w:t>
            </w:r>
          </w:p>
        </w:tc>
      </w:tr>
      <w:tr w:rsidR="007771A6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7771A6" w:rsidRPr="00F23721" w:rsidRDefault="007771A6" w:rsidP="007771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2A0326" w:rsidP="0050317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2</w:t>
            </w:r>
            <w:r w:rsidR="00503170" w:rsidRPr="00F23721">
              <w:rPr>
                <w:rFonts w:ascii="Times New Roman" w:hAnsi="Times New Roman" w:cs="Times New Roman"/>
                <w:bCs/>
              </w:rPr>
              <w:t> 352     589 123,50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2A0326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2 085          811 500,00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2A0326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2 074       329 900,00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327 549 000,00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503170" w:rsidP="002A032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9 460 671 523,50</w:t>
            </w:r>
          </w:p>
        </w:tc>
      </w:tr>
      <w:tr w:rsidR="007771A6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7771A6" w:rsidRPr="00F23721" w:rsidRDefault="007771A6" w:rsidP="007771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503170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6 778     145 951,9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503170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4 732     581 834,05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503170" w:rsidP="007771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3721">
              <w:rPr>
                <w:rFonts w:ascii="Times New Roman" w:hAnsi="Times New Roman" w:cs="Times New Roman"/>
                <w:bCs/>
              </w:rPr>
              <w:t>4 603     075 051,65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4 799 588 000,00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4 979 384 000,00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5 166 371 000,00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5 360 838 000,00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5 563 083 997,00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5 773 419 000,00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5 992 168 000,00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6 219 668 000,00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6 456 266 000,00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2A0326" w:rsidP="00503170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</w:t>
            </w:r>
            <w:r w:rsidR="00503170" w:rsidRPr="00F23721">
              <w:rPr>
                <w:rFonts w:ascii="Times New Roman" w:hAnsi="Times New Roman" w:cs="Times New Roman"/>
              </w:rPr>
              <w:t>6 424 588 834,60</w:t>
            </w:r>
          </w:p>
        </w:tc>
      </w:tr>
      <w:tr w:rsidR="007771A6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7771A6" w:rsidRPr="00F23721" w:rsidRDefault="007771A6" w:rsidP="007771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1A6" w:rsidRPr="00F23721" w:rsidRDefault="007771A6" w:rsidP="007771A6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1. Муниципальный проект «Проектирование, строительство (реконструкция) автомобильных дорог и</w:t>
            </w:r>
            <w:r w:rsidRPr="00F237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внутриквартальных</w:t>
            </w:r>
            <w:r w:rsidR="00B84FFE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проездов»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503170" w:rsidP="0060675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418</w:t>
            </w:r>
            <w:r w:rsidR="00606756" w:rsidRPr="00F23721">
              <w:rPr>
                <w:rFonts w:ascii="Times New Roman" w:hAnsi="Times New Roman" w:cs="Times New Roman"/>
              </w:rPr>
              <w:t xml:space="preserve"> </w:t>
            </w:r>
            <w:r w:rsidRPr="00F23721">
              <w:rPr>
                <w:rFonts w:ascii="Times New Roman" w:hAnsi="Times New Roman" w:cs="Times New Roman"/>
              </w:rPr>
              <w:t>427</w:t>
            </w:r>
            <w:r w:rsidR="00606756" w:rsidRPr="00F23721">
              <w:rPr>
                <w:rFonts w:ascii="Times New Roman" w:hAnsi="Times New Roman" w:cs="Times New Roman"/>
              </w:rPr>
              <w:t xml:space="preserve"> </w:t>
            </w:r>
            <w:r w:rsidRPr="00F23721">
              <w:rPr>
                <w:rFonts w:ascii="Times New Roman" w:hAnsi="Times New Roman" w:cs="Times New Roman"/>
              </w:rPr>
              <w:t>850,38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643 755 204,15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474 150 891,35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606756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</w:t>
            </w:r>
            <w:r w:rsidR="00606756" w:rsidRPr="00F23721">
              <w:rPr>
                <w:rFonts w:ascii="Times New Roman" w:hAnsi="Times New Roman" w:cs="Times New Roman"/>
              </w:rPr>
              <w:t> 536 333 945,88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606756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418 427 850,38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643 755 204,15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474 150 891,35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606756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1 536 333 945,88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F1151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418 427 850,38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643 755 204,15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474 150 891,35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F1151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1 536 333 945,88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83433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383433" w:rsidRPr="00F23721" w:rsidRDefault="00383433" w:rsidP="003834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2. Муниципальный проект «Создание и эксплуатация автомобильных дорог, строительство, реконструкция и эксплуатация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объектов наружного освещения улично-дорожной сети города Сургута в рамках реализации концессионных с</w:t>
            </w:r>
            <w:r w:rsidR="00B84FFE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оглашений»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F1151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lastRenderedPageBreak/>
              <w:t>382 892 812,73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F1151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363 601 375,95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F1151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332 740 336,05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294 551 500,00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298 086 000,00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294 551 100,00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226 704 200,00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427 646 890,00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377 652 900,00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272 037 200,00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255 251 700,00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258 476 100,00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33" w:rsidRPr="00F23721" w:rsidRDefault="0038343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</w:t>
            </w:r>
            <w:r w:rsidR="00F11513" w:rsidRPr="00F23721">
              <w:rPr>
                <w:rFonts w:ascii="Times New Roman" w:hAnsi="Times New Roman" w:cs="Times New Roman"/>
              </w:rPr>
              <w:t> 784 192 114,73</w:t>
            </w:r>
          </w:p>
        </w:tc>
      </w:tr>
      <w:tr w:rsidR="00F11513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F11513" w:rsidRPr="00F23721" w:rsidRDefault="00F11513" w:rsidP="00F1151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382 892 812,73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363 601 375,95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332 740 336,05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294 551 500,00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298 086 000,00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294 551 100,00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226 704 200,00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427 646 890,00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377 652 900,00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272 037 200,00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255 251 700,00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258 476 100,00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3 784 192 114,73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11513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F11513" w:rsidRPr="00F23721" w:rsidRDefault="00F11513" w:rsidP="00F115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382 892 812,73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363 601 375,95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332 740 336,05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294 551 500,00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298 086 000,00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294 551 100,00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226 704 200,00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427 646 890,00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377 652 900,00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272 037 200,00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255 251 700,00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258 476 100,00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513" w:rsidRPr="00F23721" w:rsidRDefault="00F11513" w:rsidP="00F11513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3 784 192 114,73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3. Муниципальный проект «Общесистемные меры развития дорожного </w:t>
            </w:r>
            <w:r w:rsidR="005438EB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хозяйства»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30 561 600,00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98 246 900,00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99 858 700,00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228 667 200,00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30 561 600,00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98 246 900,00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99 858 700,00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228 667 200,00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за счет межбюджетных трансфертов из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lastRenderedPageBreak/>
              <w:t>11 162 400,00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35 884 100,00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35 500 700,00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82 547 200,00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17 459 200,00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56 126 500,00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57 922 200,00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131 507 900,00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1 966 700,00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6 332 200,00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14 612 100,00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4. Муниципальный проект «Региональная и местная доро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жная сеть»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442 737 796,80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440 043 354,90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440 000 000,00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1 322 781 151,70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442 737 796,80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440 043 354,90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440 000 000,00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1 322 781 151,70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216 062 400,00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216 062 400,00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216 062 400,00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648 187 200,00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226 675 396,80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223 980 954,90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223 937 600,00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67D" w:rsidRPr="00F23721" w:rsidRDefault="0049467D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674 593 951,70</w:t>
            </w:r>
          </w:p>
        </w:tc>
      </w:tr>
      <w:tr w:rsidR="0049467D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49467D" w:rsidRPr="00F23721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7D" w:rsidRPr="00F23721" w:rsidRDefault="0049467D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szCs w:val="24"/>
              </w:rPr>
              <w:t xml:space="preserve">5.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Муниципальный проект «Строительство (реконструкция) автомобильных дорог общего пользования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з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начения» (всего), в том числе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865AF8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lastRenderedPageBreak/>
              <w:t>2492485944,89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1 626 247 400,00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1 638 815 004,46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</w:t>
            </w:r>
            <w:r w:rsidR="00865AF8" w:rsidRPr="00F23721">
              <w:rPr>
                <w:rFonts w:ascii="Times New Roman" w:hAnsi="Times New Roman" w:cs="Times New Roman"/>
              </w:rPr>
              <w:t> 757 548 349,35</w:t>
            </w:r>
          </w:p>
        </w:tc>
      </w:tr>
      <w:tr w:rsidR="00865AF8" w:rsidRPr="00F23721" w:rsidTr="00EE03B5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65AF8" w:rsidRPr="00F23721" w:rsidRDefault="00865AF8" w:rsidP="00865A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2492485944,89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1 626 247 400,00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1 638 815 004,46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F8" w:rsidRPr="00F23721" w:rsidRDefault="00865AF8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5 757 548 349,35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865AF8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1769067523,5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1 463 622 600,00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1 450 345 300,00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</w:t>
            </w:r>
            <w:r w:rsidR="00865AF8" w:rsidRPr="00F23721">
              <w:rPr>
                <w:rFonts w:ascii="Times New Roman" w:hAnsi="Times New Roman" w:cs="Times New Roman"/>
              </w:rPr>
              <w:t> </w:t>
            </w:r>
            <w:r w:rsidRPr="00F23721">
              <w:rPr>
                <w:rFonts w:ascii="Times New Roman" w:hAnsi="Times New Roman" w:cs="Times New Roman"/>
              </w:rPr>
              <w:t>6</w:t>
            </w:r>
            <w:r w:rsidR="00865AF8" w:rsidRPr="00F23721">
              <w:rPr>
                <w:rFonts w:ascii="Times New Roman" w:hAnsi="Times New Roman" w:cs="Times New Roman"/>
              </w:rPr>
              <w:t>83 035 423,50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865AF8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723418421,39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162 624 800,00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188 469 704,46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865AF8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</w:t>
            </w:r>
            <w:r w:rsidR="00865AF8" w:rsidRPr="00F23721">
              <w:rPr>
                <w:rFonts w:ascii="Times New Roman" w:hAnsi="Times New Roman" w:cs="Times New Roman"/>
              </w:rPr>
              <w:t> </w:t>
            </w:r>
            <w:r w:rsidRPr="00F23721">
              <w:rPr>
                <w:rFonts w:ascii="Times New Roman" w:hAnsi="Times New Roman" w:cs="Times New Roman"/>
              </w:rPr>
              <w:t>07</w:t>
            </w:r>
            <w:r w:rsidR="00865AF8" w:rsidRPr="00F23721">
              <w:rPr>
                <w:rFonts w:ascii="Times New Roman" w:hAnsi="Times New Roman" w:cs="Times New Roman"/>
              </w:rPr>
              <w:t>4 512 925,85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972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szCs w:val="24"/>
              </w:rPr>
              <w:t xml:space="preserve">6.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Муниципальный проект </w:t>
            </w:r>
            <w:r w:rsidRPr="00F23721"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="00E972E2" w:rsidRPr="00F2372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Модернизация пассажирского транспорта общего пользования для организации транспортного обслуживания населения в границах городского округа Сургут </w:t>
            </w:r>
            <w:r w:rsidRPr="00F23721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(всего), в том чис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ле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437 500 000,00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437 500 000,00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437 500 000,00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1 312 500 000,00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hAnsi="Times New Roman" w:cs="Times New Roman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437 500 000,00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437 500 000,00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437 500 000,00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1 312 500 000,00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за счет межбюджетных трансфертов из </w:t>
            </w: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350 000 000,00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350 000 000,00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350 000 000,00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1 050 000 000,00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87 500 000,00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87 500 000,00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87 500 000,00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262 500 000,00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85707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985707" w:rsidRPr="00F23721" w:rsidRDefault="00985707" w:rsidP="009857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7. Комплекс процессных мероприятий «Организация обеспечения населения услугами по перевозке пассажиров транспортом общего по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льзования»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187822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1 630     992 753,26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187822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1 615    209 794,62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187822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1 602          490 806,55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1 263 618 800,00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1 275 064 718,70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1 352 564 872,59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1 499 860 449,00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1 499 860 449,00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1 579 441 697,09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1 686 463 579,59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1 732 433 736,02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1 896 409 421,60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707" w:rsidRPr="00F23721" w:rsidRDefault="00985707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18</w:t>
            </w:r>
            <w:r w:rsidR="00187822" w:rsidRPr="00F23721">
              <w:rPr>
                <w:rFonts w:ascii="Times New Roman" w:hAnsi="Times New Roman" w:cs="Times New Roman"/>
              </w:rPr>
              <w:t> 634 411 078,02</w:t>
            </w:r>
          </w:p>
        </w:tc>
      </w:tr>
      <w:tr w:rsidR="00187822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187822" w:rsidRPr="00F23721" w:rsidRDefault="00187822" w:rsidP="0018782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1 630     992 753,26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1 615    209 794,62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1 602          490 806,55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1 263 618 800,00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1 275 064 718,70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1 352 564 872,59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1 499 860 449,00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1 499 860 449,00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1 579 441 697,09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1 686 463 579,59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1 732 433 736,02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1 896 409 421,60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18 634 411 078,02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87822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187822" w:rsidRPr="00F23721" w:rsidRDefault="00187822" w:rsidP="00187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1 630     992 753,26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1 615    209 794,62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1 602          490 806,55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1 263 618 800,00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1 275 064 718,70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1 352 564 872,59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1 499 860 449,00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1 499 860 449,00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1 579 441 697,09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1 686 463 579,59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1 732 433 736,02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1 896 409 421,60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18 634 411 078,02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8. Комплекс процессных мероприятий «Обеспечение функционирования сети автомобильных дорог общего пользования местного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значения»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187822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2 039     658 763,04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1 585 270 911,74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1 642 713 697,93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2 725 251 300,00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2 752 576 378,30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2 574 409 200,00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2 817 586 896,07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2 818 482 600,01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2 903 043 499,39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3 028 899 157,58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3 114 116 062,74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2 927 191 600,00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30</w:t>
            </w:r>
            <w:r w:rsidR="00187822" w:rsidRPr="00F23721">
              <w:rPr>
                <w:rFonts w:ascii="Times New Roman" w:hAnsi="Times New Roman" w:cs="Times New Roman"/>
              </w:rPr>
              <w:t> 929 200 066,80</w:t>
            </w:r>
          </w:p>
        </w:tc>
      </w:tr>
      <w:tr w:rsidR="00187822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187822" w:rsidRPr="00F23721" w:rsidRDefault="00187822" w:rsidP="0018782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2 039     658 763,04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1 585 270 911,74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1 642 713 697,93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2 725 251 300,00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2 752 576 378,30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2 574 409 200,00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2 817 586 896,07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2 818 482 600,01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2 903 043 499,39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3 028 899 157,58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3 114 116 062,74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2 927 191 600,00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822" w:rsidRPr="00F23721" w:rsidRDefault="00187822" w:rsidP="0018782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30 929 200 066,80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78 524 000,00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706 716 000,00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81419A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2 039     658 763,04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1 585 270 599,07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1 642 715 114,42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2 646 727 300,00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2 674 052 378,30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2 495 885 200,00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2 817 586 896,07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2 818 482 600,01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2 824 519 499,39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2 950 375 157,58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3 035 592 062,74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2 848 667 600,00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B" w:rsidRPr="00F23721" w:rsidRDefault="0081419A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30 379 533 170,62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9. Комплекс процессных мероприятий «Создание условий для развития транспортной инфра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структуры» (всего), в том числе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lastRenderedPageBreak/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10. Комплекс процессных мероприятий «Обеспечение деятельности структурных подразделений Администрации города, казенных у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чреждений»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81419A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45436264,27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44 402 492,69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44 636 215,31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42 486 700,00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42 496 700,00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45 486 700,00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46 486 700,00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81419A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529 865 2725,27</w:t>
            </w:r>
          </w:p>
        </w:tc>
      </w:tr>
      <w:tr w:rsidR="0081419A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1419A" w:rsidRPr="00F23721" w:rsidRDefault="0081419A" w:rsidP="0081419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3721">
              <w:rPr>
                <w:rFonts w:ascii="Times New Roman" w:hAnsi="Times New Roman" w:cs="Times New Roman"/>
                <w:color w:val="000000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45436264,27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44 402 492,69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44 636 215,31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42 486 700,00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42 496 700,00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45 486 700,00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46 486 700,00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529 865 2725,27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1419A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1419A" w:rsidRPr="00F23721" w:rsidRDefault="0081419A" w:rsidP="008141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45436264,27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44 402 492,69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44 636 215,31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42 486 700,00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42 496 700,00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43 486 700,00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44 486 700,00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45 486 700,00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46 486 700,00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529 865 2725,27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11. Комплекс процессных мероприятий «Капитальный ремонт и ремонт автомобиль</w:t>
            </w:r>
            <w:r w:rsidR="00ED6ABC"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дорог» (всего), в том числе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81419A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1 221     203 690,03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783 233 029,60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932 941 943,23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1 227 981 480,95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1 103 348 429,80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1 094 702 834,60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1 202 161 233,71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1 291 045 860,06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1 402 912 790,93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1 658 276 382,87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11</w:t>
            </w:r>
            <w:r w:rsidR="0081419A" w:rsidRPr="00F23721">
              <w:rPr>
                <w:rFonts w:ascii="Times New Roman" w:hAnsi="Times New Roman" w:cs="Times New Roman"/>
              </w:rPr>
              <w:t> 917 807 675,78</w:t>
            </w:r>
          </w:p>
        </w:tc>
      </w:tr>
      <w:tr w:rsidR="0081419A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1419A" w:rsidRPr="00F23721" w:rsidRDefault="0081419A" w:rsidP="008141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муниципального образования, из них: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1 221     203 690,03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783 233 029,60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932 941 943,23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1 227 981 480,95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1 103 348 429,80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1 094 702 834,60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1 202 161 233,71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1 291 045 860,06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1 402 912 790,93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1 658 276 382,87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9A" w:rsidRPr="00F23721" w:rsidRDefault="0081419A" w:rsidP="0081419A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11 917 807 675,78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федерального бюджета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за счет межбюджетных трансфертов из окружного бюджета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249 025 000,00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2 241 225 000,00</w:t>
            </w:r>
          </w:p>
        </w:tc>
      </w:tr>
      <w:tr w:rsidR="00ED106B" w:rsidRPr="00F23721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-   за счет средств местного бюджета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81419A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1 221     203 690,03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534 208 029,60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683 916 943,23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978 956 480,95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854 323 429,80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845 677 834,60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953 136 233,71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1 042 020 860,06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1 153 887 790,93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535862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1 409 251 382,87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6B" w:rsidRPr="00F23721" w:rsidRDefault="00ED106B" w:rsidP="00437025">
            <w:pPr>
              <w:jc w:val="center"/>
              <w:rPr>
                <w:rFonts w:ascii="Times New Roman" w:hAnsi="Times New Roman" w:cs="Times New Roman"/>
              </w:rPr>
            </w:pPr>
            <w:r w:rsidRPr="00F23721">
              <w:rPr>
                <w:rFonts w:ascii="Times New Roman" w:hAnsi="Times New Roman" w:cs="Times New Roman"/>
              </w:rPr>
              <w:t>9</w:t>
            </w:r>
            <w:r w:rsidR="00437025" w:rsidRPr="00F23721">
              <w:rPr>
                <w:rFonts w:ascii="Times New Roman" w:hAnsi="Times New Roman" w:cs="Times New Roman"/>
              </w:rPr>
              <w:t> </w:t>
            </w:r>
            <w:r w:rsidRPr="00F23721">
              <w:rPr>
                <w:rFonts w:ascii="Times New Roman" w:hAnsi="Times New Roman" w:cs="Times New Roman"/>
              </w:rPr>
              <w:t>6</w:t>
            </w:r>
            <w:r w:rsidR="00437025" w:rsidRPr="00F23721">
              <w:rPr>
                <w:rFonts w:ascii="Times New Roman" w:hAnsi="Times New Roman" w:cs="Times New Roman"/>
              </w:rPr>
              <w:t>76 582 675,78</w:t>
            </w:r>
          </w:p>
        </w:tc>
      </w:tr>
      <w:tr w:rsidR="00ED106B" w:rsidRPr="001A7D89" w:rsidTr="002A0326">
        <w:trPr>
          <w:trHeight w:val="288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D106B" w:rsidRPr="00F23721" w:rsidRDefault="00ED106B" w:rsidP="00ED1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23721">
              <w:rPr>
                <w:rFonts w:ascii="Times New Roman" w:eastAsia="Times New Roman" w:hAnsi="Times New Roman" w:cs="Times New Roman"/>
                <w:bCs/>
                <w:lang w:eastAsia="ru-RU"/>
              </w:rPr>
              <w:t>Внебюджетные источники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F23721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06B" w:rsidRPr="00896B16" w:rsidRDefault="00ED106B" w:rsidP="00535862">
            <w:pPr>
              <w:jc w:val="center"/>
            </w:pPr>
            <w:r w:rsidRPr="00F2372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CE7305" w:rsidRPr="00473BA3" w:rsidRDefault="00CE7305" w:rsidP="002D21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E7305" w:rsidRPr="00473BA3" w:rsidSect="001C1034">
      <w:headerReference w:type="default" r:id="rId8"/>
      <w:pgSz w:w="16838" w:h="11906" w:orient="landscape"/>
      <w:pgMar w:top="1276" w:right="567" w:bottom="567" w:left="567" w:header="454" w:footer="45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732" w:rsidRDefault="006F6732" w:rsidP="00827BC0">
      <w:pPr>
        <w:spacing w:after="0" w:line="240" w:lineRule="auto"/>
      </w:pPr>
      <w:r>
        <w:separator/>
      </w:r>
    </w:p>
  </w:endnote>
  <w:endnote w:type="continuationSeparator" w:id="0">
    <w:p w:rsidR="006F6732" w:rsidRDefault="006F6732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732" w:rsidRDefault="006F6732" w:rsidP="00827BC0">
      <w:pPr>
        <w:spacing w:after="0" w:line="240" w:lineRule="auto"/>
      </w:pPr>
      <w:r>
        <w:separator/>
      </w:r>
    </w:p>
  </w:footnote>
  <w:footnote w:type="continuationSeparator" w:id="0">
    <w:p w:rsidR="006F6732" w:rsidRDefault="006F6732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2780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115A3" w:rsidRPr="00C151C0" w:rsidRDefault="001115A3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151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51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51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455F">
          <w:rPr>
            <w:rFonts w:ascii="Times New Roman" w:hAnsi="Times New Roman" w:cs="Times New Roman"/>
            <w:noProof/>
            <w:sz w:val="20"/>
            <w:szCs w:val="20"/>
          </w:rPr>
          <w:t>23</w:t>
        </w:r>
        <w:r w:rsidRPr="00C151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3F16AD"/>
    <w:multiLevelType w:val="hybridMultilevel"/>
    <w:tmpl w:val="4588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422BA"/>
    <w:multiLevelType w:val="hybridMultilevel"/>
    <w:tmpl w:val="1D0E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12F5C"/>
    <w:rsid w:val="00022D6B"/>
    <w:rsid w:val="000233D8"/>
    <w:rsid w:val="00027355"/>
    <w:rsid w:val="00033801"/>
    <w:rsid w:val="0003455F"/>
    <w:rsid w:val="00040D63"/>
    <w:rsid w:val="00050D6F"/>
    <w:rsid w:val="0006391F"/>
    <w:rsid w:val="000643E6"/>
    <w:rsid w:val="00067520"/>
    <w:rsid w:val="00071E96"/>
    <w:rsid w:val="00072D44"/>
    <w:rsid w:val="00076B0A"/>
    <w:rsid w:val="00081881"/>
    <w:rsid w:val="00093946"/>
    <w:rsid w:val="00094486"/>
    <w:rsid w:val="00096AC5"/>
    <w:rsid w:val="000A3250"/>
    <w:rsid w:val="000A7B13"/>
    <w:rsid w:val="000B0552"/>
    <w:rsid w:val="000C3893"/>
    <w:rsid w:val="000D4625"/>
    <w:rsid w:val="000F1C09"/>
    <w:rsid w:val="000F3395"/>
    <w:rsid w:val="0010064D"/>
    <w:rsid w:val="00100C33"/>
    <w:rsid w:val="00101A18"/>
    <w:rsid w:val="00102703"/>
    <w:rsid w:val="00102E45"/>
    <w:rsid w:val="00111265"/>
    <w:rsid w:val="001115A3"/>
    <w:rsid w:val="0011799D"/>
    <w:rsid w:val="00125DE7"/>
    <w:rsid w:val="00130DB6"/>
    <w:rsid w:val="00133279"/>
    <w:rsid w:val="001441C3"/>
    <w:rsid w:val="00152B08"/>
    <w:rsid w:val="0015406B"/>
    <w:rsid w:val="00154A6E"/>
    <w:rsid w:val="001559CC"/>
    <w:rsid w:val="00164BB9"/>
    <w:rsid w:val="0016676B"/>
    <w:rsid w:val="001679A2"/>
    <w:rsid w:val="00174A8D"/>
    <w:rsid w:val="001761E2"/>
    <w:rsid w:val="00181AB6"/>
    <w:rsid w:val="001842D0"/>
    <w:rsid w:val="001855D1"/>
    <w:rsid w:val="00187822"/>
    <w:rsid w:val="00197605"/>
    <w:rsid w:val="001A0B5C"/>
    <w:rsid w:val="001A2CFF"/>
    <w:rsid w:val="001A7D89"/>
    <w:rsid w:val="001B2F04"/>
    <w:rsid w:val="001B3B71"/>
    <w:rsid w:val="001B4436"/>
    <w:rsid w:val="001B6537"/>
    <w:rsid w:val="001C1034"/>
    <w:rsid w:val="001D2AFE"/>
    <w:rsid w:val="001D4111"/>
    <w:rsid w:val="001D4CC9"/>
    <w:rsid w:val="001D7230"/>
    <w:rsid w:val="001F088A"/>
    <w:rsid w:val="001F1927"/>
    <w:rsid w:val="001F1B68"/>
    <w:rsid w:val="001F207B"/>
    <w:rsid w:val="001F5783"/>
    <w:rsid w:val="002012EC"/>
    <w:rsid w:val="00205577"/>
    <w:rsid w:val="002064EE"/>
    <w:rsid w:val="00213246"/>
    <w:rsid w:val="002156FA"/>
    <w:rsid w:val="002161B0"/>
    <w:rsid w:val="00225EA9"/>
    <w:rsid w:val="00230186"/>
    <w:rsid w:val="0023483A"/>
    <w:rsid w:val="00235AA4"/>
    <w:rsid w:val="002408AF"/>
    <w:rsid w:val="002411F9"/>
    <w:rsid w:val="0024542B"/>
    <w:rsid w:val="00247C37"/>
    <w:rsid w:val="00251E04"/>
    <w:rsid w:val="002538E2"/>
    <w:rsid w:val="00255E3D"/>
    <w:rsid w:val="00255EFD"/>
    <w:rsid w:val="00264086"/>
    <w:rsid w:val="002652AE"/>
    <w:rsid w:val="00271D2F"/>
    <w:rsid w:val="00272533"/>
    <w:rsid w:val="00282393"/>
    <w:rsid w:val="002828B8"/>
    <w:rsid w:val="002831E0"/>
    <w:rsid w:val="00285ADB"/>
    <w:rsid w:val="002862ED"/>
    <w:rsid w:val="00291553"/>
    <w:rsid w:val="002A0326"/>
    <w:rsid w:val="002A13D0"/>
    <w:rsid w:val="002A1637"/>
    <w:rsid w:val="002B416B"/>
    <w:rsid w:val="002C37F9"/>
    <w:rsid w:val="002C71AC"/>
    <w:rsid w:val="002C71F1"/>
    <w:rsid w:val="002D2147"/>
    <w:rsid w:val="002D217E"/>
    <w:rsid w:val="002D5392"/>
    <w:rsid w:val="002F0159"/>
    <w:rsid w:val="002F1218"/>
    <w:rsid w:val="00306E79"/>
    <w:rsid w:val="00310EC4"/>
    <w:rsid w:val="0031169A"/>
    <w:rsid w:val="00315268"/>
    <w:rsid w:val="0031619A"/>
    <w:rsid w:val="00322874"/>
    <w:rsid w:val="00333189"/>
    <w:rsid w:val="003335C4"/>
    <w:rsid w:val="00337561"/>
    <w:rsid w:val="00342B9D"/>
    <w:rsid w:val="00344A1D"/>
    <w:rsid w:val="00345ACB"/>
    <w:rsid w:val="003519BD"/>
    <w:rsid w:val="0035434C"/>
    <w:rsid w:val="00362A55"/>
    <w:rsid w:val="00363F37"/>
    <w:rsid w:val="00374A32"/>
    <w:rsid w:val="00383433"/>
    <w:rsid w:val="00387AF2"/>
    <w:rsid w:val="00391284"/>
    <w:rsid w:val="00391D9A"/>
    <w:rsid w:val="003932C7"/>
    <w:rsid w:val="003968A3"/>
    <w:rsid w:val="003A3191"/>
    <w:rsid w:val="003B6D5F"/>
    <w:rsid w:val="003C2175"/>
    <w:rsid w:val="003C3A12"/>
    <w:rsid w:val="003D150B"/>
    <w:rsid w:val="003D40D3"/>
    <w:rsid w:val="003E1AE3"/>
    <w:rsid w:val="003F5102"/>
    <w:rsid w:val="00401C98"/>
    <w:rsid w:val="00405A28"/>
    <w:rsid w:val="00412A36"/>
    <w:rsid w:val="004169AA"/>
    <w:rsid w:val="00417B8B"/>
    <w:rsid w:val="00417F00"/>
    <w:rsid w:val="004214B2"/>
    <w:rsid w:val="00425B09"/>
    <w:rsid w:val="00426351"/>
    <w:rsid w:val="00437025"/>
    <w:rsid w:val="0043752A"/>
    <w:rsid w:val="00453341"/>
    <w:rsid w:val="00454686"/>
    <w:rsid w:val="0046006E"/>
    <w:rsid w:val="00465457"/>
    <w:rsid w:val="00472D1F"/>
    <w:rsid w:val="00473BA3"/>
    <w:rsid w:val="0048214D"/>
    <w:rsid w:val="0048421D"/>
    <w:rsid w:val="00484D4B"/>
    <w:rsid w:val="00486D62"/>
    <w:rsid w:val="0049467D"/>
    <w:rsid w:val="004A5E70"/>
    <w:rsid w:val="004A76AD"/>
    <w:rsid w:val="004B4036"/>
    <w:rsid w:val="004B5B34"/>
    <w:rsid w:val="004B6176"/>
    <w:rsid w:val="004C0B58"/>
    <w:rsid w:val="004C34CB"/>
    <w:rsid w:val="004C42EC"/>
    <w:rsid w:val="004C5231"/>
    <w:rsid w:val="004D1970"/>
    <w:rsid w:val="004E0246"/>
    <w:rsid w:val="004E08E5"/>
    <w:rsid w:val="004E5A59"/>
    <w:rsid w:val="004E7C46"/>
    <w:rsid w:val="004F03AC"/>
    <w:rsid w:val="004F3DA0"/>
    <w:rsid w:val="004F4177"/>
    <w:rsid w:val="00503170"/>
    <w:rsid w:val="00503B23"/>
    <w:rsid w:val="005058A0"/>
    <w:rsid w:val="00514C53"/>
    <w:rsid w:val="005317BB"/>
    <w:rsid w:val="00535862"/>
    <w:rsid w:val="00540D9E"/>
    <w:rsid w:val="005438EB"/>
    <w:rsid w:val="00544FDC"/>
    <w:rsid w:val="00552E4F"/>
    <w:rsid w:val="00561ECB"/>
    <w:rsid w:val="005778B9"/>
    <w:rsid w:val="00577CF7"/>
    <w:rsid w:val="005811F0"/>
    <w:rsid w:val="00582314"/>
    <w:rsid w:val="005869AA"/>
    <w:rsid w:val="005908B3"/>
    <w:rsid w:val="005914BD"/>
    <w:rsid w:val="00591667"/>
    <w:rsid w:val="00594576"/>
    <w:rsid w:val="00596442"/>
    <w:rsid w:val="005A1885"/>
    <w:rsid w:val="005A44C9"/>
    <w:rsid w:val="005B0B4C"/>
    <w:rsid w:val="005B0F43"/>
    <w:rsid w:val="005B1427"/>
    <w:rsid w:val="005B2EBE"/>
    <w:rsid w:val="005B3FBC"/>
    <w:rsid w:val="005B6C78"/>
    <w:rsid w:val="005C0514"/>
    <w:rsid w:val="005C3587"/>
    <w:rsid w:val="005C387E"/>
    <w:rsid w:val="005C65AF"/>
    <w:rsid w:val="005D13C1"/>
    <w:rsid w:val="005D15C4"/>
    <w:rsid w:val="005E5509"/>
    <w:rsid w:val="005F1C2B"/>
    <w:rsid w:val="005F2F56"/>
    <w:rsid w:val="005F3667"/>
    <w:rsid w:val="00606756"/>
    <w:rsid w:val="006077CB"/>
    <w:rsid w:val="006179AB"/>
    <w:rsid w:val="00625A52"/>
    <w:rsid w:val="00627672"/>
    <w:rsid w:val="006302F8"/>
    <w:rsid w:val="00630C0B"/>
    <w:rsid w:val="00630EFE"/>
    <w:rsid w:val="006339F7"/>
    <w:rsid w:val="006345FA"/>
    <w:rsid w:val="00636731"/>
    <w:rsid w:val="00642554"/>
    <w:rsid w:val="006454BA"/>
    <w:rsid w:val="0065263E"/>
    <w:rsid w:val="0065630A"/>
    <w:rsid w:val="00664525"/>
    <w:rsid w:val="006664FC"/>
    <w:rsid w:val="00671DEE"/>
    <w:rsid w:val="0067235E"/>
    <w:rsid w:val="00674DEC"/>
    <w:rsid w:val="006906EB"/>
    <w:rsid w:val="00690A68"/>
    <w:rsid w:val="006926CE"/>
    <w:rsid w:val="006A19B1"/>
    <w:rsid w:val="006A2F1E"/>
    <w:rsid w:val="006A3764"/>
    <w:rsid w:val="006A6C7A"/>
    <w:rsid w:val="006B6482"/>
    <w:rsid w:val="006B720D"/>
    <w:rsid w:val="006D121C"/>
    <w:rsid w:val="006E5ED1"/>
    <w:rsid w:val="006E6F3E"/>
    <w:rsid w:val="006F2403"/>
    <w:rsid w:val="006F6732"/>
    <w:rsid w:val="00701E0A"/>
    <w:rsid w:val="007078A9"/>
    <w:rsid w:val="007124DC"/>
    <w:rsid w:val="0071451C"/>
    <w:rsid w:val="00721437"/>
    <w:rsid w:val="00722651"/>
    <w:rsid w:val="00723EF8"/>
    <w:rsid w:val="00726E11"/>
    <w:rsid w:val="00743C38"/>
    <w:rsid w:val="00745383"/>
    <w:rsid w:val="00747F80"/>
    <w:rsid w:val="0075287D"/>
    <w:rsid w:val="00763844"/>
    <w:rsid w:val="00764CA6"/>
    <w:rsid w:val="00767097"/>
    <w:rsid w:val="00770188"/>
    <w:rsid w:val="00770260"/>
    <w:rsid w:val="00773315"/>
    <w:rsid w:val="00775679"/>
    <w:rsid w:val="007771A6"/>
    <w:rsid w:val="00782A3F"/>
    <w:rsid w:val="00784132"/>
    <w:rsid w:val="00786B76"/>
    <w:rsid w:val="00790ADD"/>
    <w:rsid w:val="00791161"/>
    <w:rsid w:val="00794BDD"/>
    <w:rsid w:val="00797A21"/>
    <w:rsid w:val="007A096F"/>
    <w:rsid w:val="007A54AA"/>
    <w:rsid w:val="007A7C6B"/>
    <w:rsid w:val="007D6791"/>
    <w:rsid w:val="007E2905"/>
    <w:rsid w:val="007E402F"/>
    <w:rsid w:val="007F2836"/>
    <w:rsid w:val="007F2EBF"/>
    <w:rsid w:val="00805F04"/>
    <w:rsid w:val="00810484"/>
    <w:rsid w:val="0081419A"/>
    <w:rsid w:val="0081696D"/>
    <w:rsid w:val="0081704B"/>
    <w:rsid w:val="00827488"/>
    <w:rsid w:val="00827BC0"/>
    <w:rsid w:val="0083482E"/>
    <w:rsid w:val="0083516C"/>
    <w:rsid w:val="0085172F"/>
    <w:rsid w:val="0085216E"/>
    <w:rsid w:val="00856BC2"/>
    <w:rsid w:val="00861E21"/>
    <w:rsid w:val="00862698"/>
    <w:rsid w:val="008629F1"/>
    <w:rsid w:val="00865589"/>
    <w:rsid w:val="00865AF8"/>
    <w:rsid w:val="008708CD"/>
    <w:rsid w:val="00872761"/>
    <w:rsid w:val="00875FAA"/>
    <w:rsid w:val="0087634B"/>
    <w:rsid w:val="00880CEB"/>
    <w:rsid w:val="00881918"/>
    <w:rsid w:val="008867CE"/>
    <w:rsid w:val="00896B16"/>
    <w:rsid w:val="008B3150"/>
    <w:rsid w:val="008B62FB"/>
    <w:rsid w:val="008C029A"/>
    <w:rsid w:val="008C09E8"/>
    <w:rsid w:val="008C239C"/>
    <w:rsid w:val="008C29CA"/>
    <w:rsid w:val="008C3D13"/>
    <w:rsid w:val="008D1DB5"/>
    <w:rsid w:val="008D299F"/>
    <w:rsid w:val="008D4884"/>
    <w:rsid w:val="008F6B92"/>
    <w:rsid w:val="00905B72"/>
    <w:rsid w:val="00907DFC"/>
    <w:rsid w:val="00911765"/>
    <w:rsid w:val="009118EE"/>
    <w:rsid w:val="00921209"/>
    <w:rsid w:val="00927677"/>
    <w:rsid w:val="00931E47"/>
    <w:rsid w:val="00932419"/>
    <w:rsid w:val="00941D4A"/>
    <w:rsid w:val="00943A60"/>
    <w:rsid w:val="00962E23"/>
    <w:rsid w:val="00965220"/>
    <w:rsid w:val="00980A0F"/>
    <w:rsid w:val="00985707"/>
    <w:rsid w:val="00986F5B"/>
    <w:rsid w:val="00994460"/>
    <w:rsid w:val="00996D1D"/>
    <w:rsid w:val="009A6599"/>
    <w:rsid w:val="009B15D8"/>
    <w:rsid w:val="009B1DBE"/>
    <w:rsid w:val="009B50A8"/>
    <w:rsid w:val="009C3A8A"/>
    <w:rsid w:val="009C49DF"/>
    <w:rsid w:val="009C780F"/>
    <w:rsid w:val="009C7FE4"/>
    <w:rsid w:val="009D2A5D"/>
    <w:rsid w:val="009D664F"/>
    <w:rsid w:val="009E4D65"/>
    <w:rsid w:val="009E57BE"/>
    <w:rsid w:val="009F00CF"/>
    <w:rsid w:val="00A05DAF"/>
    <w:rsid w:val="00A13DF4"/>
    <w:rsid w:val="00A14314"/>
    <w:rsid w:val="00A14E4A"/>
    <w:rsid w:val="00A16F02"/>
    <w:rsid w:val="00A20107"/>
    <w:rsid w:val="00A228ED"/>
    <w:rsid w:val="00A323BB"/>
    <w:rsid w:val="00A32BDA"/>
    <w:rsid w:val="00A40262"/>
    <w:rsid w:val="00A427B3"/>
    <w:rsid w:val="00A43089"/>
    <w:rsid w:val="00A4367C"/>
    <w:rsid w:val="00A43A99"/>
    <w:rsid w:val="00A468BC"/>
    <w:rsid w:val="00A61C89"/>
    <w:rsid w:val="00A6516A"/>
    <w:rsid w:val="00A7286D"/>
    <w:rsid w:val="00A73591"/>
    <w:rsid w:val="00A76008"/>
    <w:rsid w:val="00A80E23"/>
    <w:rsid w:val="00A83C1A"/>
    <w:rsid w:val="00A923FD"/>
    <w:rsid w:val="00A95620"/>
    <w:rsid w:val="00AA2137"/>
    <w:rsid w:val="00AA38F4"/>
    <w:rsid w:val="00AA5546"/>
    <w:rsid w:val="00AB0754"/>
    <w:rsid w:val="00AB2024"/>
    <w:rsid w:val="00AB4C44"/>
    <w:rsid w:val="00AB6ED4"/>
    <w:rsid w:val="00AB7721"/>
    <w:rsid w:val="00AB77EA"/>
    <w:rsid w:val="00AB7F4B"/>
    <w:rsid w:val="00AD25B0"/>
    <w:rsid w:val="00AD3D35"/>
    <w:rsid w:val="00AD542C"/>
    <w:rsid w:val="00AD559C"/>
    <w:rsid w:val="00AF38DF"/>
    <w:rsid w:val="00AF4E5C"/>
    <w:rsid w:val="00AF7056"/>
    <w:rsid w:val="00B1272D"/>
    <w:rsid w:val="00B1341B"/>
    <w:rsid w:val="00B27DA0"/>
    <w:rsid w:val="00B3427D"/>
    <w:rsid w:val="00B42873"/>
    <w:rsid w:val="00B45F41"/>
    <w:rsid w:val="00B538DE"/>
    <w:rsid w:val="00B725A2"/>
    <w:rsid w:val="00B73B15"/>
    <w:rsid w:val="00B74195"/>
    <w:rsid w:val="00B751AB"/>
    <w:rsid w:val="00B76AD6"/>
    <w:rsid w:val="00B77031"/>
    <w:rsid w:val="00B777B3"/>
    <w:rsid w:val="00B812AD"/>
    <w:rsid w:val="00B82731"/>
    <w:rsid w:val="00B84FFE"/>
    <w:rsid w:val="00BA0AAB"/>
    <w:rsid w:val="00BA35E8"/>
    <w:rsid w:val="00BC3696"/>
    <w:rsid w:val="00BC70F5"/>
    <w:rsid w:val="00BD7589"/>
    <w:rsid w:val="00BF3E78"/>
    <w:rsid w:val="00BF4198"/>
    <w:rsid w:val="00C064A8"/>
    <w:rsid w:val="00C07013"/>
    <w:rsid w:val="00C07605"/>
    <w:rsid w:val="00C11EE7"/>
    <w:rsid w:val="00C138FD"/>
    <w:rsid w:val="00C13B74"/>
    <w:rsid w:val="00C151C0"/>
    <w:rsid w:val="00C20658"/>
    <w:rsid w:val="00C22785"/>
    <w:rsid w:val="00C234E9"/>
    <w:rsid w:val="00C33575"/>
    <w:rsid w:val="00C40769"/>
    <w:rsid w:val="00C554F9"/>
    <w:rsid w:val="00C57838"/>
    <w:rsid w:val="00C6220E"/>
    <w:rsid w:val="00C62852"/>
    <w:rsid w:val="00C70D72"/>
    <w:rsid w:val="00C93DB8"/>
    <w:rsid w:val="00CA44D4"/>
    <w:rsid w:val="00CA4E26"/>
    <w:rsid w:val="00CA4F32"/>
    <w:rsid w:val="00CB49E5"/>
    <w:rsid w:val="00CB6911"/>
    <w:rsid w:val="00CB6CB8"/>
    <w:rsid w:val="00CB782A"/>
    <w:rsid w:val="00CD268B"/>
    <w:rsid w:val="00CD6BC6"/>
    <w:rsid w:val="00CE3B27"/>
    <w:rsid w:val="00CE52FD"/>
    <w:rsid w:val="00CE6805"/>
    <w:rsid w:val="00CE6A57"/>
    <w:rsid w:val="00CE7305"/>
    <w:rsid w:val="00CF3B14"/>
    <w:rsid w:val="00CF47A0"/>
    <w:rsid w:val="00CF57A7"/>
    <w:rsid w:val="00D00866"/>
    <w:rsid w:val="00D05005"/>
    <w:rsid w:val="00D13C97"/>
    <w:rsid w:val="00D16358"/>
    <w:rsid w:val="00D1671E"/>
    <w:rsid w:val="00D178C0"/>
    <w:rsid w:val="00D23A72"/>
    <w:rsid w:val="00D24D62"/>
    <w:rsid w:val="00D415B3"/>
    <w:rsid w:val="00D4279C"/>
    <w:rsid w:val="00D427DC"/>
    <w:rsid w:val="00D43833"/>
    <w:rsid w:val="00D57724"/>
    <w:rsid w:val="00D57D82"/>
    <w:rsid w:val="00D60B02"/>
    <w:rsid w:val="00D61507"/>
    <w:rsid w:val="00D6336D"/>
    <w:rsid w:val="00D72ED1"/>
    <w:rsid w:val="00D74395"/>
    <w:rsid w:val="00D76857"/>
    <w:rsid w:val="00D77C55"/>
    <w:rsid w:val="00D85AB9"/>
    <w:rsid w:val="00DA3262"/>
    <w:rsid w:val="00DA622B"/>
    <w:rsid w:val="00DB3981"/>
    <w:rsid w:val="00DC5FD5"/>
    <w:rsid w:val="00DC7F03"/>
    <w:rsid w:val="00DD10C0"/>
    <w:rsid w:val="00DD21AA"/>
    <w:rsid w:val="00DE2CC1"/>
    <w:rsid w:val="00DF1E3E"/>
    <w:rsid w:val="00E02761"/>
    <w:rsid w:val="00E03068"/>
    <w:rsid w:val="00E11E1C"/>
    <w:rsid w:val="00E12F5E"/>
    <w:rsid w:val="00E20AD7"/>
    <w:rsid w:val="00E24E74"/>
    <w:rsid w:val="00E26EDA"/>
    <w:rsid w:val="00E34F03"/>
    <w:rsid w:val="00E40302"/>
    <w:rsid w:val="00E41D80"/>
    <w:rsid w:val="00E505D8"/>
    <w:rsid w:val="00E67B88"/>
    <w:rsid w:val="00E74965"/>
    <w:rsid w:val="00E755EF"/>
    <w:rsid w:val="00E77481"/>
    <w:rsid w:val="00E80B49"/>
    <w:rsid w:val="00E879EA"/>
    <w:rsid w:val="00E903FD"/>
    <w:rsid w:val="00E956C8"/>
    <w:rsid w:val="00E972E2"/>
    <w:rsid w:val="00EA24CB"/>
    <w:rsid w:val="00EA4800"/>
    <w:rsid w:val="00EA733C"/>
    <w:rsid w:val="00EB5B87"/>
    <w:rsid w:val="00EC0CF6"/>
    <w:rsid w:val="00EC50F8"/>
    <w:rsid w:val="00EC7956"/>
    <w:rsid w:val="00ED106B"/>
    <w:rsid w:val="00ED6ABC"/>
    <w:rsid w:val="00EE3BCB"/>
    <w:rsid w:val="00EF0059"/>
    <w:rsid w:val="00EF2EA8"/>
    <w:rsid w:val="00F02FA3"/>
    <w:rsid w:val="00F07397"/>
    <w:rsid w:val="00F10912"/>
    <w:rsid w:val="00F11513"/>
    <w:rsid w:val="00F158D5"/>
    <w:rsid w:val="00F23721"/>
    <w:rsid w:val="00F33E3C"/>
    <w:rsid w:val="00F422B6"/>
    <w:rsid w:val="00F433EC"/>
    <w:rsid w:val="00F52EF4"/>
    <w:rsid w:val="00F63A35"/>
    <w:rsid w:val="00F64C42"/>
    <w:rsid w:val="00F6538E"/>
    <w:rsid w:val="00F66813"/>
    <w:rsid w:val="00F73298"/>
    <w:rsid w:val="00F75D3C"/>
    <w:rsid w:val="00F831B8"/>
    <w:rsid w:val="00F87B58"/>
    <w:rsid w:val="00F92EBE"/>
    <w:rsid w:val="00FA25DC"/>
    <w:rsid w:val="00FA465D"/>
    <w:rsid w:val="00FA6E92"/>
    <w:rsid w:val="00FC362C"/>
    <w:rsid w:val="00FC7A97"/>
    <w:rsid w:val="00FD7936"/>
    <w:rsid w:val="00FE1AA4"/>
    <w:rsid w:val="00FE44A4"/>
    <w:rsid w:val="00FF0BD2"/>
    <w:rsid w:val="00FF1EFE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3181A"/>
  <w15:docId w15:val="{3F25C5EF-B7E4-4FD3-B5A0-AD610040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  <w:style w:type="paragraph" w:styleId="ae">
    <w:name w:val="No Spacing"/>
    <w:basedOn w:val="a"/>
    <w:uiPriority w:val="1"/>
    <w:qFormat/>
    <w:rsid w:val="00722651"/>
    <w:pPr>
      <w:spacing w:after="0" w:line="240" w:lineRule="auto"/>
    </w:pPr>
  </w:style>
  <w:style w:type="paragraph" w:customStyle="1" w:styleId="ConsPlusNormal">
    <w:name w:val="ConsPlusNormal"/>
    <w:rsid w:val="0072265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000000" w:fill="auto"/>
      <w:spacing w:after="0" w:line="240" w:lineRule="auto"/>
    </w:pPr>
    <w:rPr>
      <w:rFonts w:ascii="TimesNewRoman" w:eastAsia="TimesNewRoman" w:hAnsi="TimesNewRoman" w:cs="TimesNewRoman"/>
      <w:color w:val="000000"/>
      <w:sz w:val="24"/>
      <w:szCs w:val="20"/>
      <w:lang w:val="en-US" w:eastAsia="zh-CN"/>
    </w:rPr>
  </w:style>
  <w:style w:type="paragraph" w:styleId="af">
    <w:name w:val="annotation text"/>
    <w:basedOn w:val="a"/>
    <w:link w:val="af0"/>
    <w:uiPriority w:val="99"/>
    <w:semiHidden/>
    <w:unhideWhenUsed/>
    <w:rsid w:val="002161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161B0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2161B0"/>
    <w:rPr>
      <w:sz w:val="16"/>
      <w:szCs w:val="16"/>
    </w:rPr>
  </w:style>
  <w:style w:type="character" w:styleId="af2">
    <w:name w:val="Emphasis"/>
    <w:basedOn w:val="a0"/>
    <w:uiPriority w:val="20"/>
    <w:qFormat/>
    <w:rsid w:val="000643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86001-6AB7-49A7-975D-20F32CBE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5346</Words>
  <Characters>30478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4</cp:revision>
  <cp:lastPrinted>2024-11-11T10:01:00Z</cp:lastPrinted>
  <dcterms:created xsi:type="dcterms:W3CDTF">2025-05-28T07:14:00Z</dcterms:created>
  <dcterms:modified xsi:type="dcterms:W3CDTF">2025-05-28T07:15:00Z</dcterms:modified>
</cp:coreProperties>
</file>