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4125">
        <w:rPr>
          <w:rFonts w:ascii="Times New Roman" w:hAnsi="Times New Roman" w:cs="Times New Roman"/>
          <w:sz w:val="28"/>
          <w:szCs w:val="28"/>
          <w:u w:val="single"/>
        </w:rPr>
        <w:t>05.10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4125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6A32A4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A44125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A44125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2912A4" wp14:editId="5999E582">
                  <wp:extent cx="5762625" cy="30575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F50DC" w:rsidRDefault="00FF50DC" w:rsidP="00720BA0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60203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98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06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6,5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542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1 299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11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377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1,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60203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747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643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A441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4,0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6020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EA63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A441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E273D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7D0B0C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A809A1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05.10.2020-11.10.2020.xlsx]Данные'!$A$3:$A$14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05.10.2020-11.10.2020.xlsx]Данные'!$H$3:$H$14</c:f>
              <c:numCache>
                <c:formatCode>#,##0</c:formatCode>
                <c:ptCount val="12"/>
                <c:pt idx="0">
                  <c:v>130.14285714285714</c:v>
                </c:pt>
                <c:pt idx="1">
                  <c:v>144.85714285714286</c:v>
                </c:pt>
                <c:pt idx="2">
                  <c:v>157.17142857142855</c:v>
                </c:pt>
                <c:pt idx="3">
                  <c:v>159.51428571428573</c:v>
                </c:pt>
                <c:pt idx="4">
                  <c:v>152.91428571428571</c:v>
                </c:pt>
                <c:pt idx="5">
                  <c:v>147.94285714285715</c:v>
                </c:pt>
                <c:pt idx="6">
                  <c:v>158.43333333333334</c:v>
                </c:pt>
                <c:pt idx="7">
                  <c:v>148.80000000000001</c:v>
                </c:pt>
                <c:pt idx="8">
                  <c:v>144.6</c:v>
                </c:pt>
                <c:pt idx="9">
                  <c:v>136.1</c:v>
                </c:pt>
                <c:pt idx="10">
                  <c:v>134</c:v>
                </c:pt>
                <c:pt idx="11">
                  <c:v>77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49241600"/>
        <c:axId val="318991168"/>
      </c:barChart>
      <c:catAx>
        <c:axId val="44924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991168"/>
        <c:crosses val="autoZero"/>
        <c:auto val="1"/>
        <c:lblAlgn val="ctr"/>
        <c:lblOffset val="100"/>
        <c:noMultiLvlLbl val="0"/>
      </c:catAx>
      <c:valAx>
        <c:axId val="31899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24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42</cp:revision>
  <cp:lastPrinted>2020-07-06T09:35:00Z</cp:lastPrinted>
  <dcterms:created xsi:type="dcterms:W3CDTF">2020-06-25T06:56:00Z</dcterms:created>
  <dcterms:modified xsi:type="dcterms:W3CDTF">2020-10-12T12:42:00Z</dcterms:modified>
</cp:coreProperties>
</file>