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Look w:val="01E0" w:firstRow="1" w:lastRow="1" w:firstColumn="1" w:lastColumn="1" w:noHBand="0" w:noVBand="0"/>
      </w:tblPr>
      <w:tblGrid>
        <w:gridCol w:w="9919"/>
        <w:gridCol w:w="222"/>
      </w:tblGrid>
      <w:tr w:rsidR="008C1E05" w:rsidRPr="008C1E05" w:rsidTr="003E4681">
        <w:trPr>
          <w:trHeight w:val="2280"/>
        </w:trPr>
        <w:tc>
          <w:tcPr>
            <w:tcW w:w="9919" w:type="dxa"/>
          </w:tcPr>
          <w:p w:rsidR="00686C8C" w:rsidRPr="008C1E05" w:rsidRDefault="00686C8C" w:rsidP="00582C70">
            <w:pPr>
              <w:pStyle w:val="ConsPlusTitle"/>
              <w:widowControl/>
              <w:ind w:left="6663"/>
              <w:outlineLvl w:val="0"/>
              <w:rPr>
                <w:b w:val="0"/>
                <w:sz w:val="24"/>
                <w:szCs w:val="24"/>
              </w:rPr>
            </w:pPr>
            <w:r w:rsidRPr="008C1E05">
              <w:rPr>
                <w:b w:val="0"/>
                <w:sz w:val="24"/>
                <w:szCs w:val="24"/>
              </w:rPr>
              <w:t>Проект</w:t>
            </w:r>
          </w:p>
          <w:p w:rsidR="002938B5" w:rsidRPr="008C1E05" w:rsidRDefault="002938B5" w:rsidP="00582C70">
            <w:pPr>
              <w:pStyle w:val="ConsPlusTitle"/>
              <w:widowControl/>
              <w:ind w:left="6663"/>
              <w:outlineLvl w:val="0"/>
              <w:rPr>
                <w:b w:val="0"/>
                <w:sz w:val="24"/>
                <w:szCs w:val="24"/>
              </w:rPr>
            </w:pPr>
            <w:r w:rsidRPr="008C1E05">
              <w:rPr>
                <w:b w:val="0"/>
                <w:sz w:val="24"/>
                <w:szCs w:val="24"/>
              </w:rPr>
              <w:t xml:space="preserve">подготовлен департаментом </w:t>
            </w:r>
          </w:p>
          <w:p w:rsidR="002938B5" w:rsidRPr="008C1E05" w:rsidRDefault="002938B5" w:rsidP="00582C70">
            <w:pPr>
              <w:pStyle w:val="ConsPlusTitle"/>
              <w:widowControl/>
              <w:ind w:left="6663"/>
              <w:outlineLvl w:val="0"/>
              <w:rPr>
                <w:b w:val="0"/>
                <w:sz w:val="24"/>
                <w:szCs w:val="24"/>
              </w:rPr>
            </w:pPr>
            <w:r w:rsidRPr="008C1E05">
              <w:rPr>
                <w:b w:val="0"/>
                <w:sz w:val="24"/>
                <w:szCs w:val="24"/>
              </w:rPr>
              <w:t>по экономической политике</w:t>
            </w:r>
          </w:p>
          <w:p w:rsidR="002938B5" w:rsidRPr="008C1E05" w:rsidRDefault="002938B5" w:rsidP="00BB1F10">
            <w:pPr>
              <w:pStyle w:val="ConsPlusTitle"/>
              <w:widowControl/>
              <w:jc w:val="right"/>
              <w:outlineLvl w:val="0"/>
              <w:rPr>
                <w:b w:val="0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1F7D83" w:rsidRPr="008C1E05" w:rsidRDefault="001F7D83" w:rsidP="00BB1F1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СУРГУТ</w:t>
            </w:r>
          </w:p>
          <w:p w:rsidR="001F7D83" w:rsidRPr="008C1E05" w:rsidRDefault="001F7D83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938B5" w:rsidRPr="008C1E05" w:rsidRDefault="002938B5" w:rsidP="00BB1F10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938B5" w:rsidRPr="008C1E05" w:rsidRDefault="002938B5" w:rsidP="00BB1F10">
            <w:pPr>
              <w:pStyle w:val="ConsPlusTitle"/>
              <w:widowControl/>
              <w:jc w:val="center"/>
            </w:pPr>
          </w:p>
          <w:tbl>
            <w:tblPr>
              <w:tblW w:w="9703" w:type="dxa"/>
              <w:tblLook w:val="04A0" w:firstRow="1" w:lastRow="0" w:firstColumn="1" w:lastColumn="0" w:noHBand="0" w:noVBand="1"/>
            </w:tblPr>
            <w:tblGrid>
              <w:gridCol w:w="5670"/>
              <w:gridCol w:w="4033"/>
            </w:tblGrid>
            <w:tr w:rsidR="008C1E05" w:rsidRPr="008C1E05" w:rsidTr="0003670A">
              <w:tc>
                <w:tcPr>
                  <w:tcW w:w="5670" w:type="dxa"/>
                  <w:shd w:val="clear" w:color="auto" w:fill="auto"/>
                </w:tcPr>
                <w:p w:rsidR="002938B5" w:rsidRPr="008C1E05" w:rsidRDefault="002938B5" w:rsidP="00E00FF1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r w:rsidRPr="008C1E05">
                    <w:rPr>
                      <w:b w:val="0"/>
                    </w:rPr>
                    <w:t>О</w:t>
                  </w:r>
                  <w:r w:rsidR="00E00FF1" w:rsidRPr="008C1E05">
                    <w:rPr>
                      <w:b w:val="0"/>
                    </w:rPr>
                    <w:t xml:space="preserve">б утверждении порядка осуществления мониторинга реализации документов стратегического планирования и подготовки документов, в которых отражаются результаты мониторинга </w:t>
                  </w:r>
                </w:p>
                <w:p w:rsidR="00E00FF1" w:rsidRPr="008C1E05" w:rsidRDefault="00E00FF1" w:rsidP="00E00FF1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4033" w:type="dxa"/>
                  <w:shd w:val="clear" w:color="auto" w:fill="auto"/>
                </w:tcPr>
                <w:p w:rsidR="002938B5" w:rsidRPr="008C1E05" w:rsidRDefault="002938B5" w:rsidP="00BB1F10">
                  <w:pPr>
                    <w:pStyle w:val="ConsPlusTitle"/>
                    <w:widowControl/>
                    <w:rPr>
                      <w:b w:val="0"/>
                    </w:rPr>
                  </w:pPr>
                </w:p>
              </w:tc>
            </w:tr>
          </w:tbl>
          <w:p w:rsidR="002938B5" w:rsidRPr="008C1E05" w:rsidRDefault="002938B5" w:rsidP="00BB1F10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</w:t>
            </w:r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Федеральным </w:t>
            </w:r>
            <w:proofErr w:type="gramStart"/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законом  от</w:t>
            </w:r>
            <w:proofErr w:type="gramEnd"/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DA5DA2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28.06.2014 № 172-ФЗ </w:t>
            </w:r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DA5DA2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 стратегическом планировании в Российской Федерации»</w:t>
            </w:r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распоряжением Администрации города от 01.08.2014</w:t>
            </w:r>
            <w:r w:rsidR="00DA5D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№ 2237 «О мерах по реализации Федерального закона от 28.06.2014 № 172-ФЗ </w:t>
            </w:r>
            <w:r w:rsidR="00E05604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 стратегическом планировании в Российской Федерации»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(с последующими изменениями)</w:t>
            </w: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1F7D83" w:rsidRPr="008C1E0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распоряжением Администрации города от 30.12.2005 № 3686 «Об утверждении Регламента Администрации города» (с последующими изменениями)</w:t>
            </w: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</w:p>
          <w:p w:rsidR="0003670A" w:rsidRPr="008C1E05" w:rsidRDefault="002938B5" w:rsidP="00E00FF1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  <w:r w:rsidR="0091138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 w:rsidR="00DA5DED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Утвердить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согласно приложению.</w:t>
            </w:r>
          </w:p>
          <w:p w:rsidR="00911389" w:rsidRPr="008C1E05" w:rsidRDefault="00911389" w:rsidP="00BB1F1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2. Управлению информационной политики опубликовать настоящее постановление </w:t>
            </w:r>
            <w:r w:rsidR="00F17342" w:rsidRPr="008C1E05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 и разместить на официальном интернет-сайте Администрации города.</w:t>
            </w:r>
          </w:p>
          <w:p w:rsidR="00371A26" w:rsidRPr="008C1E05" w:rsidRDefault="00911389" w:rsidP="00BB1F1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3. Контроль за выполнением постановления оставляю за собой.</w:t>
            </w:r>
          </w:p>
          <w:p w:rsidR="00371A26" w:rsidRPr="008C1E05" w:rsidRDefault="00371A26" w:rsidP="00BB1F1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389" w:rsidRPr="008C1E05" w:rsidRDefault="00911389" w:rsidP="00BB1F1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26" w:rsidRPr="008C1E05" w:rsidRDefault="00371A26" w:rsidP="00BB1F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                                          </w:t>
            </w:r>
            <w:r w:rsidR="001F7D83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8D0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7D83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Д.В. Попов</w:t>
            </w:r>
          </w:p>
          <w:p w:rsidR="00A84F75" w:rsidRPr="008C1E05" w:rsidRDefault="00A84F75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ED" w:rsidRPr="008C1E05" w:rsidRDefault="00DA5DED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ED" w:rsidRPr="008C1E05" w:rsidRDefault="00DA5DED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5A" w:rsidRPr="008C1E05" w:rsidRDefault="00334D5A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ED" w:rsidRPr="008C1E05" w:rsidRDefault="00DA5DED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435" w:rsidRDefault="00346435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D5A" w:rsidRPr="008C1E05" w:rsidRDefault="00334D5A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E3F" w:rsidRPr="008C1E05" w:rsidRDefault="008F58D0" w:rsidP="00BB1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05">
              <w:rPr>
                <w:rFonts w:ascii="Times New Roman" w:hAnsi="Times New Roman" w:cs="Times New Roman"/>
                <w:sz w:val="20"/>
                <w:szCs w:val="20"/>
              </w:rPr>
              <w:t>Мединцева Светлана Геннадьевна</w:t>
            </w:r>
          </w:p>
          <w:p w:rsidR="002F61F3" w:rsidRPr="008C1E05" w:rsidRDefault="008F58D0" w:rsidP="00346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05">
              <w:rPr>
                <w:rFonts w:ascii="Times New Roman" w:hAnsi="Times New Roman" w:cs="Times New Roman"/>
                <w:sz w:val="20"/>
                <w:szCs w:val="20"/>
              </w:rPr>
              <w:t>тел. (3462) 52-20-93</w:t>
            </w:r>
          </w:p>
          <w:p w:rsidR="007C1059" w:rsidRPr="008C1E05" w:rsidRDefault="007C1059" w:rsidP="007C1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8D6B5E" w:rsidRPr="008C1E05" w:rsidRDefault="008D6B5E" w:rsidP="00BB1F1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</w:tbl>
    <w:p w:rsidR="007C1059" w:rsidRDefault="007C1059" w:rsidP="007C1059">
      <w:pPr>
        <w:ind w:left="6521" w:right="-284"/>
        <w:rPr>
          <w:rFonts w:ascii="Times New Roman" w:hAnsi="Times New Roman" w:cs="Times New Roman"/>
          <w:sz w:val="28"/>
          <w:szCs w:val="28"/>
        </w:rPr>
      </w:pPr>
    </w:p>
    <w:p w:rsidR="00582C70" w:rsidRPr="008C1E05" w:rsidRDefault="00582C70" w:rsidP="007C1059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2C70" w:rsidRPr="008C1E05" w:rsidRDefault="00582C70" w:rsidP="00582C70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2C70" w:rsidRPr="008C1E05" w:rsidRDefault="00582C70" w:rsidP="00582C70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582C70" w:rsidRPr="008C1E05" w:rsidRDefault="00582C70" w:rsidP="00582C70">
      <w:pPr>
        <w:ind w:left="6521" w:right="-284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582C70" w:rsidRPr="008C1E05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C70" w:rsidRPr="008C1E05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34D5A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реализации документов </w:t>
      </w:r>
    </w:p>
    <w:p w:rsidR="00334D5A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и подготовки документов, </w:t>
      </w:r>
    </w:p>
    <w:p w:rsidR="00155B2D" w:rsidRPr="008C1E05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в которых отражаются результаты мониторинга </w:t>
      </w:r>
    </w:p>
    <w:p w:rsidR="00582C70" w:rsidRPr="008C1E05" w:rsidRDefault="00582C70" w:rsidP="00582C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2C70" w:rsidRPr="008C1E05" w:rsidRDefault="00DB2C2E" w:rsidP="00DB2C2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1. </w:t>
      </w:r>
      <w:r w:rsidR="00DE7F29" w:rsidRPr="008C1E0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7F29" w:rsidRPr="008C1E05" w:rsidRDefault="001512DA" w:rsidP="00046F79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DB2C2E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E7F29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</w:t>
      </w:r>
      <w:r w:rsidR="001E0E22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0E22"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реализации документов стратегического планирования и подготовки документов, в которых отражаются результаты мониторинга </w:t>
      </w:r>
      <w:r w:rsidR="00DE7F29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1E0E22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</w:t>
      </w:r>
      <w:r w:rsidR="00C80E8C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2DEC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C80E8C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DE7F29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орядок)</w:t>
      </w:r>
      <w:r w:rsidR="00261B97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DE7F29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 </w:t>
      </w:r>
      <w:r w:rsidR="001E0E22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повышения эффективности функционирования системы стратегического планирования и деятельности участников стратегического планирования по достижению </w:t>
      </w:r>
      <w:r w:rsidR="00C80E8C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установленные сроки запланированных </w:t>
      </w:r>
      <w:r w:rsidR="001E0E22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показателей социально-экономического развития</w:t>
      </w:r>
      <w:r w:rsidR="0055198E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городской округ город Сургут</w:t>
      </w:r>
      <w:r w:rsidR="001E0E22" w:rsidRPr="008C1E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76F6F" w:rsidRPr="001E3542" w:rsidRDefault="00DB2C2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1.2. </w:t>
      </w:r>
      <w:r w:rsidR="0032202E" w:rsidRPr="001E3542">
        <w:rPr>
          <w:rFonts w:ascii="Times New Roman" w:hAnsi="Times New Roman" w:cs="Times New Roman"/>
          <w:sz w:val="28"/>
          <w:szCs w:val="28"/>
        </w:rPr>
        <w:t>Цель и задачи м</w:t>
      </w:r>
      <w:r w:rsidR="00C80E8C" w:rsidRPr="001E3542">
        <w:rPr>
          <w:rFonts w:ascii="Times New Roman" w:hAnsi="Times New Roman" w:cs="Times New Roman"/>
          <w:sz w:val="28"/>
          <w:szCs w:val="28"/>
        </w:rPr>
        <w:t xml:space="preserve">ониторинга реализации документов стратегического планирования муниципального образования городской округ город Сургут </w:t>
      </w:r>
      <w:r w:rsidR="0032202E" w:rsidRPr="001E3542">
        <w:rPr>
          <w:rFonts w:ascii="Times New Roman" w:hAnsi="Times New Roman" w:cs="Times New Roman"/>
          <w:sz w:val="28"/>
          <w:szCs w:val="28"/>
        </w:rPr>
        <w:t xml:space="preserve">(далее – Мониторинг) определены в соответствии с Федеральным </w:t>
      </w:r>
      <w:proofErr w:type="gramStart"/>
      <w:r w:rsidR="0032202E" w:rsidRPr="001E3542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="0032202E" w:rsidRPr="001E3542">
        <w:rPr>
          <w:rFonts w:ascii="Times New Roman" w:hAnsi="Times New Roman" w:cs="Times New Roman"/>
          <w:sz w:val="28"/>
          <w:szCs w:val="28"/>
        </w:rPr>
        <w:t xml:space="preserve"> 28.06.2014 № 172-ФЗ «О стратегическом планировании в Российской Федерации». </w:t>
      </w:r>
    </w:p>
    <w:p w:rsidR="00F17225" w:rsidRPr="001E3542" w:rsidRDefault="000E344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1.3. Под частными показателями достижения цели стратегии понимаются показатели, используемые</w:t>
      </w:r>
      <w:r w:rsidR="008B5D3C" w:rsidRPr="001E3542">
        <w:rPr>
          <w:rFonts w:ascii="Times New Roman" w:hAnsi="Times New Roman" w:cs="Times New Roman"/>
          <w:sz w:val="28"/>
          <w:szCs w:val="28"/>
        </w:rPr>
        <w:t xml:space="preserve"> для расчета интегральных индексов достижения целей Стратегии </w:t>
      </w:r>
      <w:r w:rsidR="00334D5A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городской округ город Сургут (далее – Стратегия, </w:t>
      </w:r>
      <w:r w:rsidR="00334D5A" w:rsidRPr="008C1E05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</w:t>
      </w:r>
      <w:r w:rsidR="00334D5A">
        <w:rPr>
          <w:rFonts w:ascii="Times New Roman" w:hAnsi="Times New Roman" w:cs="Times New Roman"/>
          <w:sz w:val="28"/>
          <w:szCs w:val="28"/>
        </w:rPr>
        <w:t>)</w:t>
      </w:r>
      <w:r w:rsidR="008B5D3C" w:rsidRPr="001E3542">
        <w:rPr>
          <w:rFonts w:ascii="Times New Roman" w:hAnsi="Times New Roman" w:cs="Times New Roman"/>
          <w:sz w:val="28"/>
          <w:szCs w:val="28"/>
        </w:rPr>
        <w:t>.</w:t>
      </w:r>
    </w:p>
    <w:p w:rsidR="0032202E" w:rsidRDefault="0032202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значении, установленном Федеральным законом  от 28.06.2014 № 172-ФЗ «О стратегическом планировании в Российской Федерации», решением Думы города от 25.02.2015 № 652-</w:t>
      </w:r>
      <w:r w:rsidRPr="001E35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E3542">
        <w:rPr>
          <w:rFonts w:ascii="Times New Roman" w:hAnsi="Times New Roman" w:cs="Times New Roman"/>
          <w:sz w:val="28"/>
          <w:szCs w:val="28"/>
        </w:rPr>
        <w:t xml:space="preserve"> ДГ «Об определении последовательности и порядка разработки документов стратегического планирования и их содержания».</w:t>
      </w:r>
    </w:p>
    <w:p w:rsidR="0032202E" w:rsidRPr="0032202E" w:rsidRDefault="0032202E" w:rsidP="001E0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D5A" w:rsidRDefault="00DB2C2E" w:rsidP="00DB2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2. Мониторинг реализации Стратегии </w:t>
      </w:r>
    </w:p>
    <w:p w:rsidR="00DB2C2E" w:rsidRPr="008C1E05" w:rsidRDefault="00DB2C2E" w:rsidP="00DB2C2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DB2C2E" w:rsidRPr="008C1E05" w:rsidRDefault="00DB2C2E" w:rsidP="0099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F5D" w:rsidRPr="001E3542" w:rsidRDefault="00DB2C2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2.1. </w:t>
      </w:r>
      <w:r w:rsidR="00992DEC" w:rsidRPr="008C1E05">
        <w:rPr>
          <w:rFonts w:ascii="Times New Roman" w:hAnsi="Times New Roman" w:cs="Times New Roman"/>
          <w:sz w:val="28"/>
          <w:szCs w:val="28"/>
        </w:rPr>
        <w:t>Мониторинг</w:t>
      </w:r>
      <w:r w:rsidRPr="008C1E05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992DEC" w:rsidRPr="008C1E05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осуществляется на основе анализа достижения значений интегральных индексов достижения целей Стратегии и частных показателей, на основе которых рассчитаны интегральные индексы, </w:t>
      </w:r>
      <w:r w:rsidR="00992DEC" w:rsidRPr="001E3542">
        <w:rPr>
          <w:rFonts w:ascii="Times New Roman" w:hAnsi="Times New Roman" w:cs="Times New Roman"/>
          <w:sz w:val="28"/>
          <w:szCs w:val="28"/>
        </w:rPr>
        <w:t>отраженных в тексте Стратегии, утвержденной решением Думы города.</w:t>
      </w:r>
    </w:p>
    <w:p w:rsidR="00C36D8A" w:rsidRPr="001E3542" w:rsidRDefault="00C36D8A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32202E" w:rsidRPr="001E3542">
        <w:rPr>
          <w:rFonts w:ascii="Times New Roman" w:hAnsi="Times New Roman" w:cs="Times New Roman"/>
          <w:sz w:val="28"/>
          <w:szCs w:val="28"/>
        </w:rPr>
        <w:t xml:space="preserve">работниками структурных подразделений </w:t>
      </w:r>
      <w:r w:rsidR="0032202E" w:rsidRPr="001E354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и муниципальных учреждений, определенными Главой города </w:t>
      </w:r>
      <w:r w:rsidRPr="001E3542">
        <w:rPr>
          <w:rFonts w:ascii="Times New Roman" w:hAnsi="Times New Roman" w:cs="Times New Roman"/>
          <w:sz w:val="28"/>
          <w:szCs w:val="28"/>
        </w:rPr>
        <w:t>ответственным</w:t>
      </w:r>
      <w:r w:rsidR="00363FD4" w:rsidRPr="001E3542">
        <w:rPr>
          <w:rFonts w:ascii="Times New Roman" w:hAnsi="Times New Roman" w:cs="Times New Roman"/>
          <w:sz w:val="28"/>
          <w:szCs w:val="28"/>
        </w:rPr>
        <w:t>и</w:t>
      </w:r>
      <w:r w:rsidRPr="001E3542">
        <w:rPr>
          <w:rFonts w:ascii="Times New Roman" w:hAnsi="Times New Roman" w:cs="Times New Roman"/>
          <w:sz w:val="28"/>
          <w:szCs w:val="28"/>
        </w:rPr>
        <w:t xml:space="preserve"> за работу над вектор</w:t>
      </w:r>
      <w:r w:rsidR="00363FD4" w:rsidRPr="001E3542">
        <w:rPr>
          <w:rFonts w:ascii="Times New Roman" w:hAnsi="Times New Roman" w:cs="Times New Roman"/>
          <w:sz w:val="28"/>
          <w:szCs w:val="28"/>
        </w:rPr>
        <w:t>а</w:t>
      </w:r>
      <w:r w:rsidRPr="001E3542">
        <w:rPr>
          <w:rFonts w:ascii="Times New Roman" w:hAnsi="Times New Roman" w:cs="Times New Roman"/>
          <w:sz w:val="28"/>
          <w:szCs w:val="28"/>
        </w:rPr>
        <w:t>м</w:t>
      </w:r>
      <w:r w:rsidR="00363FD4" w:rsidRPr="001E3542">
        <w:rPr>
          <w:rFonts w:ascii="Times New Roman" w:hAnsi="Times New Roman" w:cs="Times New Roman"/>
          <w:sz w:val="28"/>
          <w:szCs w:val="28"/>
        </w:rPr>
        <w:t>и</w:t>
      </w:r>
      <w:r w:rsidRPr="001E3542">
        <w:rPr>
          <w:rFonts w:ascii="Times New Roman" w:hAnsi="Times New Roman" w:cs="Times New Roman"/>
          <w:sz w:val="28"/>
          <w:szCs w:val="28"/>
        </w:rPr>
        <w:t>.</w:t>
      </w:r>
    </w:p>
    <w:p w:rsidR="00E3253D" w:rsidRPr="001E3542" w:rsidRDefault="00DB2C2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2.2. 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Анализ достижения значений частных показателей достижения целей Стратегии проводится </w:t>
      </w:r>
      <w:r w:rsidR="002742B1" w:rsidRPr="001E3542">
        <w:rPr>
          <w:rFonts w:ascii="Times New Roman" w:hAnsi="Times New Roman" w:cs="Times New Roman"/>
          <w:sz w:val="28"/>
          <w:szCs w:val="28"/>
        </w:rPr>
        <w:t xml:space="preserve">ежегодно по каждому вектору 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63FD4" w:rsidRPr="001E35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005C" w:rsidRPr="001E3542">
        <w:rPr>
          <w:rFonts w:ascii="Times New Roman" w:hAnsi="Times New Roman" w:cs="Times New Roman"/>
          <w:sz w:val="28"/>
          <w:szCs w:val="28"/>
        </w:rPr>
        <w:t>приложени</w:t>
      </w:r>
      <w:r w:rsidR="00363FD4" w:rsidRPr="001E3542">
        <w:rPr>
          <w:rFonts w:ascii="Times New Roman" w:hAnsi="Times New Roman" w:cs="Times New Roman"/>
          <w:sz w:val="28"/>
          <w:szCs w:val="28"/>
        </w:rPr>
        <w:t>ю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 1</w:t>
      </w:r>
      <w:r w:rsidR="00DC005C" w:rsidRPr="001E354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253D" w:rsidRPr="001E3542" w:rsidRDefault="00E1792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2.3. 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Анализ достижения значений интегральных индексов достижения целей Стратегии проводится </w:t>
      </w:r>
      <w:r w:rsidR="002742B1" w:rsidRPr="001E3542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2742B1" w:rsidRPr="001E3542">
        <w:rPr>
          <w:rFonts w:ascii="Times New Roman" w:hAnsi="Times New Roman" w:cs="Times New Roman"/>
          <w:sz w:val="28"/>
          <w:szCs w:val="28"/>
        </w:rPr>
        <w:t>периоды:  2015</w:t>
      </w:r>
      <w:proofErr w:type="gramEnd"/>
      <w:r w:rsidR="002742B1" w:rsidRPr="001E3542">
        <w:rPr>
          <w:rFonts w:ascii="Times New Roman" w:hAnsi="Times New Roman" w:cs="Times New Roman"/>
          <w:sz w:val="28"/>
          <w:szCs w:val="28"/>
        </w:rPr>
        <w:t xml:space="preserve">, 2016, 2017, 2022, 2030 (по состоянию на 31.12.2029) годы по каждому вектору 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363FD4" w:rsidRPr="001E35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C005C" w:rsidRPr="001E3542">
        <w:rPr>
          <w:rFonts w:ascii="Times New Roman" w:hAnsi="Times New Roman" w:cs="Times New Roman"/>
          <w:sz w:val="28"/>
          <w:szCs w:val="28"/>
        </w:rPr>
        <w:t>приложени</w:t>
      </w:r>
      <w:r w:rsidR="00363FD4" w:rsidRPr="001E3542">
        <w:rPr>
          <w:rFonts w:ascii="Times New Roman" w:hAnsi="Times New Roman" w:cs="Times New Roman"/>
          <w:sz w:val="28"/>
          <w:szCs w:val="28"/>
        </w:rPr>
        <w:t>ю</w:t>
      </w:r>
      <w:r w:rsidR="00DC005C" w:rsidRPr="001E3542">
        <w:rPr>
          <w:rFonts w:ascii="Times New Roman" w:hAnsi="Times New Roman" w:cs="Times New Roman"/>
          <w:sz w:val="28"/>
          <w:szCs w:val="28"/>
        </w:rPr>
        <w:t xml:space="preserve"> </w:t>
      </w:r>
      <w:r w:rsidR="00E3253D" w:rsidRPr="001E3542">
        <w:rPr>
          <w:rFonts w:ascii="Times New Roman" w:hAnsi="Times New Roman" w:cs="Times New Roman"/>
          <w:sz w:val="28"/>
          <w:szCs w:val="28"/>
        </w:rPr>
        <w:t>2</w:t>
      </w:r>
      <w:r w:rsidR="00DC005C" w:rsidRPr="001E3542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742B1" w:rsidRPr="001E3542">
        <w:rPr>
          <w:rFonts w:ascii="Times New Roman" w:hAnsi="Times New Roman" w:cs="Times New Roman"/>
          <w:sz w:val="28"/>
          <w:szCs w:val="28"/>
        </w:rPr>
        <w:t>.</w:t>
      </w:r>
      <w:r w:rsidR="00E3253D" w:rsidRPr="001E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BC" w:rsidRPr="001E3542" w:rsidRDefault="00E1792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2.4. </w:t>
      </w:r>
      <w:r w:rsidR="001A7E44" w:rsidRPr="001E3542">
        <w:rPr>
          <w:rFonts w:ascii="Times New Roman" w:hAnsi="Times New Roman" w:cs="Times New Roman"/>
          <w:sz w:val="28"/>
          <w:szCs w:val="28"/>
        </w:rPr>
        <w:t xml:space="preserve">На основе анализа составляется отчет о </w:t>
      </w:r>
      <w:r w:rsidR="002742B1" w:rsidRPr="001E3542">
        <w:rPr>
          <w:rFonts w:ascii="Times New Roman" w:hAnsi="Times New Roman" w:cs="Times New Roman"/>
          <w:sz w:val="28"/>
          <w:szCs w:val="28"/>
        </w:rPr>
        <w:t xml:space="preserve">достижении значений </w:t>
      </w:r>
      <w:r w:rsidR="00363FD4" w:rsidRPr="001E3542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="002742B1" w:rsidRPr="001E3542">
        <w:rPr>
          <w:rFonts w:ascii="Times New Roman" w:hAnsi="Times New Roman" w:cs="Times New Roman"/>
          <w:sz w:val="28"/>
          <w:szCs w:val="28"/>
        </w:rPr>
        <w:t>показателей вектора</w:t>
      </w:r>
      <w:r w:rsidR="00363FD4" w:rsidRPr="001E3542">
        <w:rPr>
          <w:rFonts w:ascii="Times New Roman" w:hAnsi="Times New Roman" w:cs="Times New Roman"/>
          <w:sz w:val="28"/>
          <w:szCs w:val="28"/>
        </w:rPr>
        <w:t xml:space="preserve"> и интегральных индексов достижения целей Стратегии по вектору</w:t>
      </w:r>
      <w:r w:rsidR="000206AE" w:rsidRPr="001E3542">
        <w:rPr>
          <w:rFonts w:ascii="Times New Roman" w:hAnsi="Times New Roman" w:cs="Times New Roman"/>
          <w:sz w:val="28"/>
          <w:szCs w:val="28"/>
        </w:rPr>
        <w:t xml:space="preserve"> (далее – отчет о развитии вектора)</w:t>
      </w:r>
      <w:r w:rsidR="001A7E44" w:rsidRPr="001E3542">
        <w:rPr>
          <w:rFonts w:ascii="Times New Roman" w:hAnsi="Times New Roman" w:cs="Times New Roman"/>
          <w:sz w:val="28"/>
          <w:szCs w:val="28"/>
        </w:rPr>
        <w:t>, в котором отража</w:t>
      </w:r>
      <w:r w:rsidR="008724BC" w:rsidRPr="001E3542">
        <w:rPr>
          <w:rFonts w:ascii="Times New Roman" w:hAnsi="Times New Roman" w:cs="Times New Roman"/>
          <w:sz w:val="28"/>
          <w:szCs w:val="28"/>
        </w:rPr>
        <w:t>ю</w:t>
      </w:r>
      <w:r w:rsidR="001A7E44" w:rsidRPr="001E3542">
        <w:rPr>
          <w:rFonts w:ascii="Times New Roman" w:hAnsi="Times New Roman" w:cs="Times New Roman"/>
          <w:sz w:val="28"/>
          <w:szCs w:val="28"/>
        </w:rPr>
        <w:t>тся</w:t>
      </w:r>
      <w:r w:rsidR="008724BC" w:rsidRPr="001E3542">
        <w:rPr>
          <w:rFonts w:ascii="Times New Roman" w:hAnsi="Times New Roman" w:cs="Times New Roman"/>
          <w:sz w:val="28"/>
          <w:szCs w:val="28"/>
        </w:rPr>
        <w:t>:</w:t>
      </w:r>
    </w:p>
    <w:p w:rsidR="008724BC" w:rsidRPr="008C1E05" w:rsidRDefault="001A7E44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оценка степени достижения запланированных значений интегральных </w:t>
      </w:r>
      <w:r w:rsidR="008724BC" w:rsidRPr="001E3542">
        <w:rPr>
          <w:rFonts w:ascii="Times New Roman" w:hAnsi="Times New Roman" w:cs="Times New Roman"/>
          <w:sz w:val="28"/>
          <w:szCs w:val="28"/>
        </w:rPr>
        <w:t>индексов и частных показателей</w:t>
      </w:r>
      <w:r w:rsidR="008724BC" w:rsidRPr="008C1E05">
        <w:rPr>
          <w:rFonts w:ascii="Times New Roman" w:hAnsi="Times New Roman" w:cs="Times New Roman"/>
          <w:sz w:val="28"/>
          <w:szCs w:val="28"/>
        </w:rPr>
        <w:t>;</w:t>
      </w:r>
    </w:p>
    <w:p w:rsidR="001A7E44" w:rsidRPr="008C1E05" w:rsidRDefault="001A7E44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оценка влияния внутренних и внешних условий на уровень достижения</w:t>
      </w:r>
      <w:r w:rsidR="008724BC" w:rsidRPr="008C1E05">
        <w:rPr>
          <w:rFonts w:ascii="Times New Roman" w:hAnsi="Times New Roman" w:cs="Times New Roman"/>
          <w:sz w:val="28"/>
          <w:szCs w:val="28"/>
        </w:rPr>
        <w:t xml:space="preserve"> значений интегральных индексов и частных показателей;</w:t>
      </w:r>
    </w:p>
    <w:p w:rsidR="008724BC" w:rsidRPr="008C1E05" w:rsidRDefault="008724BC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оценка влияния достигнутых значений интегральных индексов и частных показателей на достижение задач и цели вектора.</w:t>
      </w:r>
    </w:p>
    <w:p w:rsidR="00E220C0" w:rsidRPr="001E3542" w:rsidRDefault="008724BC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Оценки проводятся экспертным путем ответственным</w:t>
      </w:r>
      <w:r w:rsidR="00363FD4" w:rsidRPr="001E3542">
        <w:rPr>
          <w:rFonts w:ascii="Times New Roman" w:hAnsi="Times New Roman" w:cs="Times New Roman"/>
          <w:sz w:val="28"/>
          <w:szCs w:val="28"/>
        </w:rPr>
        <w:t>и</w:t>
      </w:r>
      <w:r w:rsidRPr="001E3542">
        <w:rPr>
          <w:rFonts w:ascii="Times New Roman" w:hAnsi="Times New Roman" w:cs="Times New Roman"/>
          <w:sz w:val="28"/>
          <w:szCs w:val="28"/>
        </w:rPr>
        <w:t xml:space="preserve"> за работу над вектором.</w:t>
      </w:r>
      <w:r w:rsidR="00E220C0" w:rsidRPr="001E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4F6" w:rsidRPr="001E3542" w:rsidRDefault="00E220C0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На основе оценок </w:t>
      </w:r>
      <w:r w:rsidR="004E0A1B" w:rsidRPr="001E3542"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1E3542">
        <w:rPr>
          <w:rFonts w:ascii="Times New Roman" w:hAnsi="Times New Roman" w:cs="Times New Roman"/>
          <w:sz w:val="28"/>
          <w:szCs w:val="28"/>
        </w:rPr>
        <w:t>вывод</w:t>
      </w:r>
      <w:r w:rsidR="004E0A1B" w:rsidRPr="001E3542">
        <w:rPr>
          <w:rFonts w:ascii="Times New Roman" w:hAnsi="Times New Roman" w:cs="Times New Roman"/>
          <w:sz w:val="28"/>
          <w:szCs w:val="28"/>
        </w:rPr>
        <w:t>ы</w:t>
      </w:r>
      <w:r w:rsidR="009A54F6" w:rsidRPr="001E3542">
        <w:rPr>
          <w:rFonts w:ascii="Times New Roman" w:hAnsi="Times New Roman" w:cs="Times New Roman"/>
          <w:sz w:val="28"/>
          <w:szCs w:val="28"/>
        </w:rPr>
        <w:t>:</w:t>
      </w:r>
    </w:p>
    <w:p w:rsidR="009A54F6" w:rsidRPr="001E3542" w:rsidRDefault="009A54F6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 развитии вектора;</w:t>
      </w:r>
      <w:r w:rsidR="00E220C0" w:rsidRPr="001E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4BC" w:rsidRPr="001E3542" w:rsidRDefault="00363FD4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о </w:t>
      </w:r>
      <w:r w:rsidR="00E220C0" w:rsidRPr="001E3542">
        <w:rPr>
          <w:rFonts w:ascii="Times New Roman" w:hAnsi="Times New Roman" w:cs="Times New Roman"/>
          <w:sz w:val="28"/>
          <w:szCs w:val="28"/>
        </w:rPr>
        <w:t>возможны</w:t>
      </w:r>
      <w:r w:rsidRPr="001E3542">
        <w:rPr>
          <w:rFonts w:ascii="Times New Roman" w:hAnsi="Times New Roman" w:cs="Times New Roman"/>
          <w:sz w:val="28"/>
          <w:szCs w:val="28"/>
        </w:rPr>
        <w:t>х</w:t>
      </w:r>
      <w:r w:rsidR="00E220C0" w:rsidRPr="001E3542">
        <w:rPr>
          <w:rFonts w:ascii="Times New Roman" w:hAnsi="Times New Roman" w:cs="Times New Roman"/>
          <w:sz w:val="28"/>
          <w:szCs w:val="28"/>
        </w:rPr>
        <w:t xml:space="preserve"> риск</w:t>
      </w:r>
      <w:r w:rsidRPr="001E3542">
        <w:rPr>
          <w:rFonts w:ascii="Times New Roman" w:hAnsi="Times New Roman" w:cs="Times New Roman"/>
          <w:sz w:val="28"/>
          <w:szCs w:val="28"/>
        </w:rPr>
        <w:t>ах</w:t>
      </w:r>
      <w:r w:rsidR="00E220C0" w:rsidRPr="001E3542">
        <w:rPr>
          <w:rFonts w:ascii="Times New Roman" w:hAnsi="Times New Roman" w:cs="Times New Roman"/>
          <w:sz w:val="28"/>
          <w:szCs w:val="28"/>
        </w:rPr>
        <w:t xml:space="preserve"> и угроз</w:t>
      </w:r>
      <w:r w:rsidRPr="001E3542">
        <w:rPr>
          <w:rFonts w:ascii="Times New Roman" w:hAnsi="Times New Roman" w:cs="Times New Roman"/>
          <w:sz w:val="28"/>
          <w:szCs w:val="28"/>
        </w:rPr>
        <w:t>ах</w:t>
      </w:r>
      <w:r w:rsidR="004E0A1B" w:rsidRPr="001E3542">
        <w:rPr>
          <w:rFonts w:ascii="Times New Roman" w:hAnsi="Times New Roman" w:cs="Times New Roman"/>
          <w:sz w:val="28"/>
          <w:szCs w:val="28"/>
        </w:rPr>
        <w:t xml:space="preserve">, </w:t>
      </w:r>
      <w:r w:rsidRPr="001E354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220C0" w:rsidRPr="001E3542">
        <w:rPr>
          <w:rFonts w:ascii="Times New Roman" w:hAnsi="Times New Roman" w:cs="Times New Roman"/>
          <w:sz w:val="28"/>
          <w:szCs w:val="28"/>
        </w:rPr>
        <w:t>предлагаются ва</w:t>
      </w:r>
      <w:r w:rsidR="009A54F6" w:rsidRPr="001E3542">
        <w:rPr>
          <w:rFonts w:ascii="Times New Roman" w:hAnsi="Times New Roman" w:cs="Times New Roman"/>
          <w:sz w:val="28"/>
          <w:szCs w:val="28"/>
        </w:rPr>
        <w:t>рианты мер по их предотвращению;</w:t>
      </w:r>
    </w:p>
    <w:p w:rsidR="009A54F6" w:rsidRPr="001E3542" w:rsidRDefault="00363FD4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о результатах анализа </w:t>
      </w:r>
      <w:r w:rsidR="009A54F6" w:rsidRPr="001E3542">
        <w:rPr>
          <w:rFonts w:ascii="Times New Roman" w:hAnsi="Times New Roman" w:cs="Times New Roman"/>
          <w:sz w:val="28"/>
          <w:szCs w:val="28"/>
        </w:rPr>
        <w:t>сильны</w:t>
      </w:r>
      <w:r w:rsidRPr="001E3542">
        <w:rPr>
          <w:rFonts w:ascii="Times New Roman" w:hAnsi="Times New Roman" w:cs="Times New Roman"/>
          <w:sz w:val="28"/>
          <w:szCs w:val="28"/>
        </w:rPr>
        <w:t>х</w:t>
      </w:r>
      <w:r w:rsidR="009A54F6" w:rsidRPr="001E3542">
        <w:rPr>
          <w:rFonts w:ascii="Times New Roman" w:hAnsi="Times New Roman" w:cs="Times New Roman"/>
          <w:sz w:val="28"/>
          <w:szCs w:val="28"/>
        </w:rPr>
        <w:t xml:space="preserve"> и слабы</w:t>
      </w:r>
      <w:r w:rsidRPr="001E3542">
        <w:rPr>
          <w:rFonts w:ascii="Times New Roman" w:hAnsi="Times New Roman" w:cs="Times New Roman"/>
          <w:sz w:val="28"/>
          <w:szCs w:val="28"/>
        </w:rPr>
        <w:t>х</w:t>
      </w:r>
      <w:r w:rsidR="009A54F6" w:rsidRPr="001E3542">
        <w:rPr>
          <w:rFonts w:ascii="Times New Roman" w:hAnsi="Times New Roman" w:cs="Times New Roman"/>
          <w:sz w:val="28"/>
          <w:szCs w:val="28"/>
        </w:rPr>
        <w:t xml:space="preserve"> сторон текущей деятельности;</w:t>
      </w:r>
    </w:p>
    <w:p w:rsidR="009A54F6" w:rsidRPr="001E3542" w:rsidRDefault="009A54F6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 мероприятиях, направленных на улучшение ситуации.</w:t>
      </w:r>
    </w:p>
    <w:p w:rsidR="00185CF5" w:rsidRPr="001E3542" w:rsidRDefault="00E220C0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Отчет</w:t>
      </w:r>
      <w:r w:rsidR="000206AE" w:rsidRPr="001E3542">
        <w:rPr>
          <w:rFonts w:ascii="Times New Roman" w:hAnsi="Times New Roman" w:cs="Times New Roman"/>
          <w:sz w:val="28"/>
          <w:szCs w:val="28"/>
        </w:rPr>
        <w:t>ы</w:t>
      </w:r>
      <w:r w:rsidRPr="001E3542">
        <w:rPr>
          <w:rFonts w:ascii="Times New Roman" w:hAnsi="Times New Roman" w:cs="Times New Roman"/>
          <w:sz w:val="28"/>
          <w:szCs w:val="28"/>
        </w:rPr>
        <w:t xml:space="preserve"> о развитии вектор</w:t>
      </w:r>
      <w:r w:rsidR="000206AE" w:rsidRPr="001E3542">
        <w:rPr>
          <w:rFonts w:ascii="Times New Roman" w:hAnsi="Times New Roman" w:cs="Times New Roman"/>
          <w:sz w:val="28"/>
          <w:szCs w:val="28"/>
        </w:rPr>
        <w:t>ов</w:t>
      </w:r>
      <w:r w:rsidRPr="001E3542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0206AE" w:rsidRPr="001E3542">
        <w:rPr>
          <w:rFonts w:ascii="Times New Roman" w:hAnsi="Times New Roman" w:cs="Times New Roman"/>
          <w:sz w:val="28"/>
          <w:szCs w:val="28"/>
        </w:rPr>
        <w:t>ю</w:t>
      </w:r>
      <w:r w:rsidRPr="001E3542">
        <w:rPr>
          <w:rFonts w:ascii="Times New Roman" w:hAnsi="Times New Roman" w:cs="Times New Roman"/>
          <w:sz w:val="28"/>
          <w:szCs w:val="28"/>
        </w:rPr>
        <w:t xml:space="preserve">тся </w:t>
      </w:r>
      <w:r w:rsidR="00185CF5" w:rsidRPr="001E354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17922" w:rsidRPr="001E3542">
        <w:rPr>
          <w:rFonts w:ascii="Times New Roman" w:hAnsi="Times New Roman" w:cs="Times New Roman"/>
          <w:sz w:val="28"/>
          <w:szCs w:val="28"/>
        </w:rPr>
        <w:t xml:space="preserve">10 февраля года, следующего за отчетным, </w:t>
      </w:r>
      <w:r w:rsidRPr="001E3542">
        <w:rPr>
          <w:rFonts w:ascii="Times New Roman" w:hAnsi="Times New Roman" w:cs="Times New Roman"/>
          <w:sz w:val="28"/>
          <w:szCs w:val="28"/>
        </w:rPr>
        <w:t>ответственн</w:t>
      </w:r>
      <w:r w:rsidR="000206AE" w:rsidRPr="001E3542">
        <w:rPr>
          <w:rFonts w:ascii="Times New Roman" w:hAnsi="Times New Roman" w:cs="Times New Roman"/>
          <w:sz w:val="28"/>
          <w:szCs w:val="28"/>
        </w:rPr>
        <w:t>ым</w:t>
      </w:r>
      <w:r w:rsidRPr="001E3542">
        <w:rPr>
          <w:rFonts w:ascii="Times New Roman" w:hAnsi="Times New Roman" w:cs="Times New Roman"/>
          <w:sz w:val="28"/>
          <w:szCs w:val="28"/>
        </w:rPr>
        <w:t xml:space="preserve"> за направлени</w:t>
      </w:r>
      <w:r w:rsidR="000206AE" w:rsidRPr="001E3542">
        <w:rPr>
          <w:rFonts w:ascii="Times New Roman" w:hAnsi="Times New Roman" w:cs="Times New Roman"/>
          <w:sz w:val="28"/>
          <w:szCs w:val="28"/>
        </w:rPr>
        <w:t>я</w:t>
      </w:r>
      <w:r w:rsidRPr="001E3542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0206AE" w:rsidRPr="001E3542">
        <w:rPr>
          <w:rFonts w:ascii="Times New Roman" w:hAnsi="Times New Roman" w:cs="Times New Roman"/>
          <w:sz w:val="28"/>
          <w:szCs w:val="28"/>
        </w:rPr>
        <w:t>, определенными Главой города,</w:t>
      </w:r>
      <w:r w:rsidRPr="001E3542">
        <w:rPr>
          <w:rFonts w:ascii="Times New Roman" w:hAnsi="Times New Roman" w:cs="Times New Roman"/>
          <w:sz w:val="28"/>
          <w:szCs w:val="28"/>
        </w:rPr>
        <w:t xml:space="preserve"> для согласования и </w:t>
      </w:r>
      <w:r w:rsidR="000206AE" w:rsidRPr="001E3542">
        <w:rPr>
          <w:rFonts w:ascii="Times New Roman" w:hAnsi="Times New Roman" w:cs="Times New Roman"/>
          <w:sz w:val="28"/>
          <w:szCs w:val="28"/>
        </w:rPr>
        <w:t>использования</w:t>
      </w:r>
      <w:r w:rsidRPr="001E3542">
        <w:rPr>
          <w:rFonts w:ascii="Times New Roman" w:hAnsi="Times New Roman" w:cs="Times New Roman"/>
          <w:sz w:val="28"/>
          <w:szCs w:val="28"/>
        </w:rPr>
        <w:t xml:space="preserve"> в отчете по развитию направления Стратегии.</w:t>
      </w:r>
      <w:r w:rsidR="00185CF5" w:rsidRPr="001E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6FF" w:rsidRDefault="00E1792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2.5. </w:t>
      </w:r>
      <w:r w:rsidR="00E85263" w:rsidRPr="001E3542">
        <w:rPr>
          <w:rFonts w:ascii="Times New Roman" w:hAnsi="Times New Roman" w:cs="Times New Roman"/>
          <w:sz w:val="28"/>
          <w:szCs w:val="28"/>
        </w:rPr>
        <w:t>Мониторинг</w:t>
      </w:r>
      <w:r w:rsidR="00185CF5" w:rsidRPr="001E3542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E85263" w:rsidRPr="001E3542">
        <w:rPr>
          <w:rFonts w:ascii="Times New Roman" w:hAnsi="Times New Roman" w:cs="Times New Roman"/>
          <w:sz w:val="28"/>
          <w:szCs w:val="28"/>
        </w:rPr>
        <w:t>я</w:t>
      </w:r>
      <w:r w:rsidR="00185CF5" w:rsidRPr="001E3542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FE6E1B" w:rsidRPr="001E3542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764321" w:rsidRPr="001E3542">
        <w:rPr>
          <w:rFonts w:ascii="Times New Roman" w:hAnsi="Times New Roman" w:cs="Times New Roman"/>
          <w:sz w:val="28"/>
          <w:szCs w:val="28"/>
        </w:rPr>
        <w:t>осуществляется</w:t>
      </w:r>
      <w:r w:rsidR="00185CF5" w:rsidRPr="001E3542">
        <w:rPr>
          <w:rFonts w:ascii="Times New Roman" w:hAnsi="Times New Roman" w:cs="Times New Roman"/>
          <w:sz w:val="28"/>
          <w:szCs w:val="28"/>
        </w:rPr>
        <w:t xml:space="preserve"> </w:t>
      </w:r>
      <w:r w:rsidR="001166AD" w:rsidRPr="001E3542">
        <w:rPr>
          <w:rFonts w:ascii="Times New Roman" w:hAnsi="Times New Roman" w:cs="Times New Roman"/>
          <w:sz w:val="28"/>
          <w:szCs w:val="28"/>
        </w:rPr>
        <w:t>на основе</w:t>
      </w:r>
      <w:r w:rsidR="00E85263" w:rsidRPr="001E3542">
        <w:rPr>
          <w:rFonts w:ascii="Times New Roman" w:hAnsi="Times New Roman" w:cs="Times New Roman"/>
          <w:sz w:val="28"/>
          <w:szCs w:val="28"/>
        </w:rPr>
        <w:t xml:space="preserve"> </w:t>
      </w:r>
      <w:r w:rsidR="00532E11" w:rsidRPr="001E3542">
        <w:rPr>
          <w:rFonts w:ascii="Times New Roman" w:hAnsi="Times New Roman" w:cs="Times New Roman"/>
          <w:sz w:val="28"/>
          <w:szCs w:val="28"/>
        </w:rPr>
        <w:t>анализа достижения значений</w:t>
      </w:r>
      <w:r w:rsidR="00532E11" w:rsidRPr="008C1E05">
        <w:rPr>
          <w:rFonts w:ascii="Times New Roman" w:hAnsi="Times New Roman" w:cs="Times New Roman"/>
          <w:sz w:val="28"/>
          <w:szCs w:val="28"/>
        </w:rPr>
        <w:t xml:space="preserve"> частных показателей достижения целей Стратегии по каждому вектору</w:t>
      </w:r>
      <w:r w:rsidR="00107286">
        <w:rPr>
          <w:rFonts w:ascii="Times New Roman" w:hAnsi="Times New Roman" w:cs="Times New Roman"/>
          <w:sz w:val="28"/>
          <w:szCs w:val="28"/>
        </w:rPr>
        <w:t>, входящему в направление Стратегии; а</w:t>
      </w:r>
      <w:r w:rsidR="00107286" w:rsidRPr="008C1E05">
        <w:rPr>
          <w:rFonts w:ascii="Times New Roman" w:hAnsi="Times New Roman" w:cs="Times New Roman"/>
          <w:sz w:val="28"/>
          <w:szCs w:val="28"/>
        </w:rPr>
        <w:t>нализ</w:t>
      </w:r>
      <w:r w:rsidR="00107286">
        <w:rPr>
          <w:rFonts w:ascii="Times New Roman" w:hAnsi="Times New Roman" w:cs="Times New Roman"/>
          <w:sz w:val="28"/>
          <w:szCs w:val="28"/>
        </w:rPr>
        <w:t>а</w:t>
      </w:r>
      <w:r w:rsidR="00107286" w:rsidRPr="008C1E05">
        <w:rPr>
          <w:rFonts w:ascii="Times New Roman" w:hAnsi="Times New Roman" w:cs="Times New Roman"/>
          <w:sz w:val="28"/>
          <w:szCs w:val="28"/>
        </w:rPr>
        <w:t xml:space="preserve"> достижения значений интегральных индексов достижения целей Стратегии</w:t>
      </w:r>
      <w:r w:rsidR="00107286" w:rsidRPr="00107286">
        <w:rPr>
          <w:rFonts w:ascii="Times New Roman" w:hAnsi="Times New Roman" w:cs="Times New Roman"/>
          <w:sz w:val="28"/>
          <w:szCs w:val="28"/>
        </w:rPr>
        <w:t xml:space="preserve"> </w:t>
      </w:r>
      <w:r w:rsidR="00107286" w:rsidRPr="008C1E05">
        <w:rPr>
          <w:rFonts w:ascii="Times New Roman" w:hAnsi="Times New Roman" w:cs="Times New Roman"/>
          <w:sz w:val="28"/>
          <w:szCs w:val="28"/>
        </w:rPr>
        <w:t>по каждому вектору</w:t>
      </w:r>
      <w:r w:rsidR="00107286">
        <w:rPr>
          <w:rFonts w:ascii="Times New Roman" w:hAnsi="Times New Roman" w:cs="Times New Roman"/>
          <w:sz w:val="28"/>
          <w:szCs w:val="28"/>
        </w:rPr>
        <w:t xml:space="preserve"> и интегрального индекса направления Стратегии</w:t>
      </w:r>
      <w:r w:rsidR="00107286" w:rsidRPr="008C1E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107286" w:rsidRPr="008C1E05">
        <w:rPr>
          <w:rFonts w:ascii="Times New Roman" w:hAnsi="Times New Roman" w:cs="Times New Roman"/>
          <w:sz w:val="28"/>
          <w:szCs w:val="28"/>
        </w:rPr>
        <w:t>периоды:  2015</w:t>
      </w:r>
      <w:proofErr w:type="gramEnd"/>
      <w:r w:rsidR="00107286" w:rsidRPr="008C1E05">
        <w:rPr>
          <w:rFonts w:ascii="Times New Roman" w:hAnsi="Times New Roman" w:cs="Times New Roman"/>
          <w:sz w:val="28"/>
          <w:szCs w:val="28"/>
        </w:rPr>
        <w:t>, 2016, 2017, 2022, 2030 (по состоянию на 31.12.2029) годы</w:t>
      </w:r>
      <w:r w:rsidR="00E852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263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</w:t>
      </w:r>
      <w:r w:rsidR="007643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643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Стратегии отражаются:</w:t>
      </w:r>
    </w:p>
    <w:p w:rsidR="00E85263" w:rsidRPr="008C1E05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значений интегральных индексов и частных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векторов, входящих в направление Стратегии и интегрального индекса направления Стратегии</w:t>
      </w:r>
      <w:r w:rsidRPr="008C1E05">
        <w:rPr>
          <w:rFonts w:ascii="Times New Roman" w:hAnsi="Times New Roman" w:cs="Times New Roman"/>
          <w:sz w:val="28"/>
          <w:szCs w:val="28"/>
        </w:rPr>
        <w:t>;</w:t>
      </w:r>
    </w:p>
    <w:p w:rsidR="00E85263" w:rsidRPr="008C1E05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оценка влияния внутренних и внешних условий на уровень достижения значений интегральных индексов и частных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векторов, входящих в направление Стратегии и интегрального индекса направления Стратегии</w:t>
      </w:r>
      <w:r w:rsidRPr="008C1E05">
        <w:rPr>
          <w:rFonts w:ascii="Times New Roman" w:hAnsi="Times New Roman" w:cs="Times New Roman"/>
          <w:sz w:val="28"/>
          <w:szCs w:val="28"/>
        </w:rPr>
        <w:t>;</w:t>
      </w:r>
    </w:p>
    <w:p w:rsidR="00E85263" w:rsidRPr="001E3542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оценка влияния достигнутых значений интегральных индексов и частных показателей векторов, входящих в направление Стратегии и интег</w:t>
      </w:r>
      <w:r w:rsidR="006431B8" w:rsidRPr="001E3542">
        <w:rPr>
          <w:rFonts w:ascii="Times New Roman" w:hAnsi="Times New Roman" w:cs="Times New Roman"/>
          <w:sz w:val="28"/>
          <w:szCs w:val="28"/>
        </w:rPr>
        <w:t xml:space="preserve">рального </w:t>
      </w:r>
      <w:r w:rsidR="006431B8" w:rsidRPr="001E3542">
        <w:rPr>
          <w:rFonts w:ascii="Times New Roman" w:hAnsi="Times New Roman" w:cs="Times New Roman"/>
          <w:sz w:val="28"/>
          <w:szCs w:val="28"/>
        </w:rPr>
        <w:lastRenderedPageBreak/>
        <w:t>индекса направления Ст</w:t>
      </w:r>
      <w:r w:rsidRPr="001E3542">
        <w:rPr>
          <w:rFonts w:ascii="Times New Roman" w:hAnsi="Times New Roman" w:cs="Times New Roman"/>
          <w:sz w:val="28"/>
          <w:szCs w:val="28"/>
        </w:rPr>
        <w:t>р</w:t>
      </w:r>
      <w:r w:rsidR="006431B8" w:rsidRPr="001E3542">
        <w:rPr>
          <w:rFonts w:ascii="Times New Roman" w:hAnsi="Times New Roman" w:cs="Times New Roman"/>
          <w:sz w:val="28"/>
          <w:szCs w:val="28"/>
        </w:rPr>
        <w:t>а</w:t>
      </w:r>
      <w:r w:rsidRPr="001E3542">
        <w:rPr>
          <w:rFonts w:ascii="Times New Roman" w:hAnsi="Times New Roman" w:cs="Times New Roman"/>
          <w:sz w:val="28"/>
          <w:szCs w:val="28"/>
        </w:rPr>
        <w:t>тегии</w:t>
      </w:r>
      <w:r w:rsidR="006431B8" w:rsidRPr="001E3542">
        <w:rPr>
          <w:rFonts w:ascii="Times New Roman" w:hAnsi="Times New Roman" w:cs="Times New Roman"/>
          <w:sz w:val="28"/>
          <w:szCs w:val="28"/>
        </w:rPr>
        <w:t xml:space="preserve"> на достижение цели направления</w:t>
      </w:r>
      <w:r w:rsidRPr="001E3542">
        <w:rPr>
          <w:rFonts w:ascii="Times New Roman" w:hAnsi="Times New Roman" w:cs="Times New Roman"/>
          <w:sz w:val="28"/>
          <w:szCs w:val="28"/>
        </w:rPr>
        <w:t>.</w:t>
      </w:r>
    </w:p>
    <w:p w:rsidR="00E85263" w:rsidRPr="001E3542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Оценки проводятся экспертным путем ответственным</w:t>
      </w:r>
      <w:r w:rsidR="00764321" w:rsidRPr="001E3542">
        <w:rPr>
          <w:rFonts w:ascii="Times New Roman" w:hAnsi="Times New Roman" w:cs="Times New Roman"/>
          <w:sz w:val="28"/>
          <w:szCs w:val="28"/>
        </w:rPr>
        <w:t>и</w:t>
      </w:r>
      <w:r w:rsidRPr="001E3542">
        <w:rPr>
          <w:rFonts w:ascii="Times New Roman" w:hAnsi="Times New Roman" w:cs="Times New Roman"/>
          <w:sz w:val="28"/>
          <w:szCs w:val="28"/>
        </w:rPr>
        <w:t xml:space="preserve"> за </w:t>
      </w:r>
      <w:r w:rsidR="006431B8" w:rsidRPr="001E3542">
        <w:rPr>
          <w:rFonts w:ascii="Times New Roman" w:hAnsi="Times New Roman" w:cs="Times New Roman"/>
          <w:sz w:val="28"/>
          <w:szCs w:val="28"/>
        </w:rPr>
        <w:t>направление Стратегии.</w:t>
      </w:r>
    </w:p>
    <w:p w:rsidR="00E85263" w:rsidRPr="001E3542" w:rsidRDefault="00E85263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На основе оценок формируются выводы:</w:t>
      </w:r>
    </w:p>
    <w:p w:rsidR="00E85263" w:rsidRPr="001E3542" w:rsidRDefault="00E85263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о развитии </w:t>
      </w:r>
      <w:r w:rsidR="006431B8" w:rsidRPr="001E3542">
        <w:rPr>
          <w:rFonts w:ascii="Times New Roman" w:hAnsi="Times New Roman" w:cs="Times New Roman"/>
          <w:sz w:val="28"/>
          <w:szCs w:val="28"/>
        </w:rPr>
        <w:t>направления</w:t>
      </w:r>
      <w:r w:rsidRPr="001E35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4321" w:rsidRPr="001E3542" w:rsidRDefault="00764321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 возможных рисках и угрозах, а также предлагаются варианты мер по их предотвращению;</w:t>
      </w:r>
    </w:p>
    <w:p w:rsidR="00764321" w:rsidRPr="001E3542" w:rsidRDefault="00764321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 результатах анализа сильных и слабых сторон текущей деятельности;</w:t>
      </w:r>
    </w:p>
    <w:p w:rsidR="00764321" w:rsidRPr="001E3542" w:rsidRDefault="00764321" w:rsidP="00EF3245">
      <w:pPr>
        <w:pStyle w:val="a7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о мероприятиях, направленных на улучшение ситуации.</w:t>
      </w:r>
    </w:p>
    <w:p w:rsidR="00C9094D" w:rsidRPr="001E3542" w:rsidRDefault="00764321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B76FF" w:rsidRPr="001E3542">
        <w:rPr>
          <w:rFonts w:ascii="Times New Roman" w:hAnsi="Times New Roman" w:cs="Times New Roman"/>
          <w:sz w:val="28"/>
          <w:szCs w:val="28"/>
        </w:rPr>
        <w:t>о развити</w:t>
      </w:r>
      <w:r w:rsidRPr="001E3542">
        <w:rPr>
          <w:rFonts w:ascii="Times New Roman" w:hAnsi="Times New Roman" w:cs="Times New Roman"/>
          <w:sz w:val="28"/>
          <w:szCs w:val="28"/>
        </w:rPr>
        <w:t>и</w:t>
      </w:r>
      <w:r w:rsidR="00DB76FF" w:rsidRPr="001E3542">
        <w:rPr>
          <w:rFonts w:ascii="Times New Roman" w:hAnsi="Times New Roman" w:cs="Times New Roman"/>
          <w:sz w:val="28"/>
          <w:szCs w:val="28"/>
        </w:rPr>
        <w:t xml:space="preserve"> направления Стратегии готовит ответственный за направление Стратегии</w:t>
      </w:r>
      <w:r w:rsidR="00E17922" w:rsidRPr="001E3542">
        <w:rPr>
          <w:rFonts w:ascii="Times New Roman" w:hAnsi="Times New Roman" w:cs="Times New Roman"/>
          <w:sz w:val="28"/>
          <w:szCs w:val="28"/>
        </w:rPr>
        <w:t xml:space="preserve"> и </w:t>
      </w:r>
      <w:r w:rsidR="00D35D4A" w:rsidRPr="001E3542">
        <w:rPr>
          <w:rFonts w:ascii="Times New Roman" w:hAnsi="Times New Roman" w:cs="Times New Roman"/>
          <w:sz w:val="28"/>
          <w:szCs w:val="28"/>
        </w:rPr>
        <w:t xml:space="preserve">в срок до 20 февраля года, следующего за отчетным, </w:t>
      </w:r>
      <w:r w:rsidR="00E17922" w:rsidRPr="001E3542">
        <w:rPr>
          <w:rFonts w:ascii="Times New Roman" w:hAnsi="Times New Roman" w:cs="Times New Roman"/>
          <w:sz w:val="28"/>
          <w:szCs w:val="28"/>
        </w:rPr>
        <w:t>направляет Главе города для согласования.</w:t>
      </w:r>
    </w:p>
    <w:p w:rsidR="00DB76FF" w:rsidRPr="008C1E05" w:rsidRDefault="00DB76FF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В случае наличия з</w:t>
      </w:r>
      <w:r w:rsidR="00764321" w:rsidRPr="001E3542">
        <w:rPr>
          <w:rFonts w:ascii="Times New Roman" w:hAnsi="Times New Roman" w:cs="Times New Roman"/>
          <w:sz w:val="28"/>
          <w:szCs w:val="28"/>
        </w:rPr>
        <w:t xml:space="preserve">амечаний Главы города к отчету </w:t>
      </w:r>
      <w:r w:rsidRPr="001E3542">
        <w:rPr>
          <w:rFonts w:ascii="Times New Roman" w:hAnsi="Times New Roman" w:cs="Times New Roman"/>
          <w:sz w:val="28"/>
          <w:szCs w:val="28"/>
        </w:rPr>
        <w:t xml:space="preserve">о </w:t>
      </w:r>
      <w:r w:rsidR="005A61A7">
        <w:rPr>
          <w:rFonts w:ascii="Times New Roman" w:hAnsi="Times New Roman" w:cs="Times New Roman"/>
          <w:sz w:val="28"/>
          <w:szCs w:val="28"/>
        </w:rPr>
        <w:t>развитии</w:t>
      </w:r>
      <w:r w:rsidRPr="001E354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8C1E05">
        <w:rPr>
          <w:rFonts w:ascii="Times New Roman" w:hAnsi="Times New Roman" w:cs="Times New Roman"/>
          <w:sz w:val="28"/>
          <w:szCs w:val="28"/>
        </w:rPr>
        <w:t xml:space="preserve"> Стратегии, документ направляется на доработку.</w:t>
      </w:r>
    </w:p>
    <w:p w:rsidR="001668BA" w:rsidRPr="008C1E05" w:rsidRDefault="001668BA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Согл</w:t>
      </w:r>
      <w:r w:rsidR="00764321">
        <w:rPr>
          <w:rFonts w:ascii="Times New Roman" w:hAnsi="Times New Roman" w:cs="Times New Roman"/>
          <w:sz w:val="28"/>
          <w:szCs w:val="28"/>
        </w:rPr>
        <w:t xml:space="preserve">асованные Главой города отчеты </w:t>
      </w:r>
      <w:r w:rsidRPr="008C1E05">
        <w:rPr>
          <w:rFonts w:ascii="Times New Roman" w:hAnsi="Times New Roman" w:cs="Times New Roman"/>
          <w:sz w:val="28"/>
          <w:szCs w:val="28"/>
        </w:rPr>
        <w:t>о развити</w:t>
      </w:r>
      <w:r w:rsidR="00764321">
        <w:rPr>
          <w:rFonts w:ascii="Times New Roman" w:hAnsi="Times New Roman" w:cs="Times New Roman"/>
          <w:sz w:val="28"/>
          <w:szCs w:val="28"/>
        </w:rPr>
        <w:t>и</w:t>
      </w:r>
      <w:r w:rsidRPr="008C1E05">
        <w:rPr>
          <w:rFonts w:ascii="Times New Roman" w:hAnsi="Times New Roman" w:cs="Times New Roman"/>
          <w:sz w:val="28"/>
          <w:szCs w:val="28"/>
        </w:rPr>
        <w:t xml:space="preserve"> направлений, ответственные за направлени</w:t>
      </w:r>
      <w:r w:rsidR="00916141">
        <w:rPr>
          <w:rFonts w:ascii="Times New Roman" w:hAnsi="Times New Roman" w:cs="Times New Roman"/>
          <w:sz w:val="28"/>
          <w:szCs w:val="28"/>
        </w:rPr>
        <w:t>я</w:t>
      </w:r>
      <w:r w:rsidRPr="008C1E05">
        <w:rPr>
          <w:rFonts w:ascii="Times New Roman" w:hAnsi="Times New Roman" w:cs="Times New Roman"/>
          <w:sz w:val="28"/>
          <w:szCs w:val="28"/>
        </w:rPr>
        <w:t xml:space="preserve"> представляют в департамент по экономической политике для </w:t>
      </w:r>
      <w:r w:rsidR="00764321">
        <w:rPr>
          <w:rFonts w:ascii="Times New Roman" w:hAnsi="Times New Roman" w:cs="Times New Roman"/>
          <w:sz w:val="28"/>
          <w:szCs w:val="28"/>
        </w:rPr>
        <w:t xml:space="preserve">формирования сводного отчета </w:t>
      </w:r>
      <w:r w:rsidR="00DB76FF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DB76FF" w:rsidRPr="008C1E05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городской округ город </w:t>
      </w:r>
      <w:proofErr w:type="gramStart"/>
      <w:r w:rsidR="00DB76FF" w:rsidRPr="008C1E05">
        <w:rPr>
          <w:rFonts w:ascii="Times New Roman" w:hAnsi="Times New Roman" w:cs="Times New Roman"/>
          <w:sz w:val="28"/>
          <w:szCs w:val="28"/>
        </w:rPr>
        <w:t xml:space="preserve">Сургут </w:t>
      </w:r>
      <w:r w:rsidR="00DB76F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B76FF"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DB76FF">
        <w:rPr>
          <w:rFonts w:ascii="Times New Roman" w:hAnsi="Times New Roman" w:cs="Times New Roman"/>
          <w:sz w:val="28"/>
          <w:szCs w:val="28"/>
        </w:rPr>
        <w:t>его</w:t>
      </w:r>
      <w:r w:rsidRPr="008C1E05">
        <w:rPr>
          <w:rFonts w:ascii="Times New Roman" w:hAnsi="Times New Roman" w:cs="Times New Roman"/>
          <w:sz w:val="28"/>
          <w:szCs w:val="28"/>
        </w:rPr>
        <w:t xml:space="preserve"> в проект ежегодных отчетов Главы города о результатах его деятельности и деятельности Администрации города, в том числе о решении вопросов, поставленных Думой города.</w:t>
      </w:r>
    </w:p>
    <w:p w:rsidR="001668BA" w:rsidRPr="008C1E05" w:rsidRDefault="008C799E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Ответственные за направлени</w:t>
      </w:r>
      <w:r w:rsidR="00916141">
        <w:rPr>
          <w:rFonts w:ascii="Times New Roman" w:hAnsi="Times New Roman" w:cs="Times New Roman"/>
          <w:sz w:val="28"/>
          <w:szCs w:val="28"/>
        </w:rPr>
        <w:t>я</w:t>
      </w:r>
      <w:r w:rsidRPr="008C1E05">
        <w:rPr>
          <w:rFonts w:ascii="Times New Roman" w:hAnsi="Times New Roman" w:cs="Times New Roman"/>
          <w:sz w:val="28"/>
          <w:szCs w:val="28"/>
        </w:rPr>
        <w:t xml:space="preserve"> представляют отчеты в департамент по экономической политике в срок не позднее 1 марта года, следующего за отчетным.</w:t>
      </w:r>
    </w:p>
    <w:p w:rsidR="00360D44" w:rsidRPr="008C1E05" w:rsidRDefault="00360D44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3542">
        <w:rPr>
          <w:rFonts w:ascii="Times New Roman" w:hAnsi="Times New Roman" w:cs="Times New Roman"/>
          <w:sz w:val="28"/>
          <w:szCs w:val="28"/>
        </w:rPr>
        <w:t>2.</w:t>
      </w:r>
      <w:r w:rsidR="008277C8" w:rsidRPr="001E3542">
        <w:rPr>
          <w:rFonts w:ascii="Times New Roman" w:hAnsi="Times New Roman" w:cs="Times New Roman"/>
          <w:sz w:val="28"/>
          <w:szCs w:val="28"/>
        </w:rPr>
        <w:t>7</w:t>
      </w:r>
      <w:r w:rsidRPr="001E3542">
        <w:rPr>
          <w:rFonts w:ascii="Times New Roman" w:hAnsi="Times New Roman" w:cs="Times New Roman"/>
          <w:sz w:val="28"/>
          <w:szCs w:val="28"/>
        </w:rPr>
        <w:t xml:space="preserve">. При выявлении в результате мониторинга Стратегии необходимости внесения изменений в </w:t>
      </w:r>
      <w:r w:rsidR="00066BEE" w:rsidRPr="001E3542">
        <w:rPr>
          <w:rFonts w:ascii="Times New Roman" w:hAnsi="Times New Roman" w:cs="Times New Roman"/>
          <w:sz w:val="28"/>
          <w:szCs w:val="28"/>
        </w:rPr>
        <w:t>Стратегию</w:t>
      </w:r>
      <w:r w:rsidRPr="001E3542">
        <w:rPr>
          <w:rFonts w:ascii="Times New Roman" w:hAnsi="Times New Roman" w:cs="Times New Roman"/>
          <w:sz w:val="28"/>
          <w:szCs w:val="28"/>
        </w:rPr>
        <w:t xml:space="preserve">, </w:t>
      </w:r>
      <w:r w:rsidR="00764321" w:rsidRPr="001E3542">
        <w:rPr>
          <w:rFonts w:ascii="Times New Roman" w:hAnsi="Times New Roman" w:cs="Times New Roman"/>
          <w:sz w:val="28"/>
          <w:szCs w:val="28"/>
        </w:rPr>
        <w:t xml:space="preserve">внесение указанных </w:t>
      </w:r>
      <w:proofErr w:type="gramStart"/>
      <w:r w:rsidR="00764321" w:rsidRPr="001E3542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1E354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64321" w:rsidRPr="001E3542">
        <w:rPr>
          <w:rFonts w:ascii="Times New Roman" w:hAnsi="Times New Roman" w:cs="Times New Roman"/>
          <w:sz w:val="28"/>
          <w:szCs w:val="28"/>
        </w:rPr>
        <w:t>е</w:t>
      </w:r>
      <w:r w:rsidRPr="001E354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1E354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64321" w:rsidRPr="001E3542">
        <w:rPr>
          <w:rFonts w:ascii="Times New Roman" w:hAnsi="Times New Roman" w:cs="Times New Roman"/>
          <w:sz w:val="28"/>
          <w:szCs w:val="28"/>
        </w:rPr>
        <w:t>частью</w:t>
      </w:r>
      <w:r w:rsidRPr="001E3542">
        <w:rPr>
          <w:rFonts w:ascii="Times New Roman" w:hAnsi="Times New Roman" w:cs="Times New Roman"/>
          <w:sz w:val="28"/>
          <w:szCs w:val="28"/>
        </w:rPr>
        <w:t xml:space="preserve"> </w:t>
      </w:r>
      <w:r w:rsidR="00066BEE" w:rsidRPr="001E3542">
        <w:rPr>
          <w:rFonts w:ascii="Times New Roman" w:hAnsi="Times New Roman" w:cs="Times New Roman"/>
          <w:sz w:val="28"/>
          <w:szCs w:val="28"/>
        </w:rPr>
        <w:t>1</w:t>
      </w:r>
      <w:r w:rsidRPr="001E3542">
        <w:rPr>
          <w:rFonts w:ascii="Times New Roman" w:hAnsi="Times New Roman" w:cs="Times New Roman"/>
          <w:sz w:val="28"/>
          <w:szCs w:val="28"/>
        </w:rPr>
        <w:t xml:space="preserve"> статьи 4 положения об определении последовательности и порядка разработки документов стратегического планирования и их содержания, утвержденно</w:t>
      </w:r>
      <w:r w:rsidR="00764321" w:rsidRPr="001E3542">
        <w:rPr>
          <w:rFonts w:ascii="Times New Roman" w:hAnsi="Times New Roman" w:cs="Times New Roman"/>
          <w:sz w:val="28"/>
          <w:szCs w:val="28"/>
        </w:rPr>
        <w:t>го</w:t>
      </w:r>
      <w:r w:rsidRPr="001E3542">
        <w:rPr>
          <w:rFonts w:ascii="Times New Roman" w:hAnsi="Times New Roman" w:cs="Times New Roman"/>
          <w:sz w:val="28"/>
          <w:szCs w:val="28"/>
        </w:rPr>
        <w:t xml:space="preserve"> решением Думы города от 25.02.2015 № 652-</w:t>
      </w:r>
      <w:r w:rsidRPr="001E354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64321" w:rsidRPr="001E3542">
        <w:rPr>
          <w:rFonts w:ascii="Times New Roman" w:hAnsi="Times New Roman" w:cs="Times New Roman"/>
          <w:sz w:val="28"/>
          <w:szCs w:val="28"/>
        </w:rPr>
        <w:t xml:space="preserve"> ДГ.</w:t>
      </w:r>
    </w:p>
    <w:p w:rsidR="00360D44" w:rsidRPr="008C1E05" w:rsidRDefault="00360D44" w:rsidP="0099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922" w:rsidRPr="008C1E05" w:rsidRDefault="00237276" w:rsidP="00E1792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3. </w:t>
      </w:r>
      <w:r w:rsidR="00E17922" w:rsidRPr="008C1E0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5A61A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17922" w:rsidRPr="008C1E05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</w:t>
      </w:r>
    </w:p>
    <w:p w:rsidR="00FE6E1B" w:rsidRPr="008C1E05" w:rsidRDefault="00E17922" w:rsidP="00E1792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</w:t>
      </w:r>
    </w:p>
    <w:p w:rsidR="00E17922" w:rsidRPr="008C1E05" w:rsidRDefault="00E17922" w:rsidP="00E1792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FE6E1B" w:rsidRPr="008C1E05" w:rsidRDefault="00FE6E1B" w:rsidP="00E1792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7C8" w:rsidRPr="008C1E05" w:rsidRDefault="00E1792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3.1. </w:t>
      </w:r>
      <w:r w:rsidR="008277C8" w:rsidRPr="008C1E0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5A61A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277C8" w:rsidRPr="008C1E05"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социально-экономического развития муниципального образования городской округ город Сургут</w:t>
      </w:r>
      <w:r w:rsidR="00FC5F58" w:rsidRPr="008C1E05">
        <w:rPr>
          <w:rFonts w:ascii="Times New Roman" w:hAnsi="Times New Roman" w:cs="Times New Roman"/>
          <w:sz w:val="28"/>
          <w:szCs w:val="28"/>
        </w:rPr>
        <w:t xml:space="preserve"> (далее – план мероприятий) </w:t>
      </w:r>
      <w:r w:rsidR="008277C8" w:rsidRPr="008C1E05">
        <w:rPr>
          <w:rFonts w:ascii="Times New Roman" w:hAnsi="Times New Roman" w:cs="Times New Roman"/>
          <w:sz w:val="28"/>
          <w:szCs w:val="28"/>
        </w:rPr>
        <w:t>проводится на основе анализа реализации проектов</w:t>
      </w:r>
      <w:r w:rsidR="00800D64">
        <w:rPr>
          <w:rFonts w:ascii="Times New Roman" w:hAnsi="Times New Roman" w:cs="Times New Roman"/>
          <w:sz w:val="28"/>
          <w:szCs w:val="28"/>
        </w:rPr>
        <w:t xml:space="preserve"> </w:t>
      </w:r>
      <w:r w:rsidR="00800D64" w:rsidRPr="008C1E05">
        <w:rPr>
          <w:rFonts w:ascii="Times New Roman" w:hAnsi="Times New Roman" w:cs="Times New Roman"/>
          <w:sz w:val="28"/>
          <w:szCs w:val="28"/>
        </w:rPr>
        <w:t>(мероприятий</w:t>
      </w:r>
      <w:r w:rsidR="00800D64">
        <w:rPr>
          <w:rFonts w:ascii="Times New Roman" w:hAnsi="Times New Roman" w:cs="Times New Roman"/>
          <w:sz w:val="28"/>
          <w:szCs w:val="28"/>
        </w:rPr>
        <w:t>)</w:t>
      </w:r>
      <w:r w:rsidR="008277C8" w:rsidRPr="008C1E05">
        <w:rPr>
          <w:rFonts w:ascii="Times New Roman" w:hAnsi="Times New Roman" w:cs="Times New Roman"/>
          <w:sz w:val="28"/>
          <w:szCs w:val="28"/>
        </w:rPr>
        <w:t xml:space="preserve">, инвестиционных проектов, </w:t>
      </w:r>
      <w:r w:rsidR="00FC5F58" w:rsidRPr="008C1E05">
        <w:rPr>
          <w:rFonts w:ascii="Times New Roman" w:hAnsi="Times New Roman" w:cs="Times New Roman"/>
          <w:sz w:val="28"/>
          <w:szCs w:val="28"/>
        </w:rPr>
        <w:t>отраженных в утвержденном плане мероприятий.</w:t>
      </w:r>
    </w:p>
    <w:p w:rsidR="00A92F5D" w:rsidRPr="008C1E05" w:rsidRDefault="008277C8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3.2. </w:t>
      </w:r>
      <w:r w:rsidR="002B382E" w:rsidRPr="008C1E05">
        <w:rPr>
          <w:rFonts w:ascii="Times New Roman" w:hAnsi="Times New Roman" w:cs="Times New Roman"/>
          <w:sz w:val="28"/>
          <w:szCs w:val="28"/>
        </w:rPr>
        <w:t>Мониторинг</w:t>
      </w:r>
      <w:r w:rsidR="005A61A7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2B382E" w:rsidRPr="008C1E05">
        <w:rPr>
          <w:rFonts w:ascii="Times New Roman" w:hAnsi="Times New Roman" w:cs="Times New Roman"/>
          <w:sz w:val="28"/>
          <w:szCs w:val="28"/>
        </w:rPr>
        <w:t xml:space="preserve"> плана мероприятий проводится </w:t>
      </w:r>
      <w:r w:rsidR="00DC005C" w:rsidRPr="008C1E05">
        <w:rPr>
          <w:rFonts w:ascii="Times New Roman" w:hAnsi="Times New Roman" w:cs="Times New Roman"/>
          <w:sz w:val="28"/>
          <w:szCs w:val="28"/>
        </w:rPr>
        <w:t xml:space="preserve">по каждому вектору </w:t>
      </w:r>
      <w:r w:rsidR="002B382E" w:rsidRPr="008C1E05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DC005C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17922" w:rsidRPr="008C1E05">
        <w:rPr>
          <w:rFonts w:ascii="Times New Roman" w:hAnsi="Times New Roman" w:cs="Times New Roman"/>
          <w:sz w:val="28"/>
          <w:szCs w:val="28"/>
        </w:rPr>
        <w:t>3</w:t>
      </w:r>
      <w:r w:rsidR="00DC005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2B382E" w:rsidRPr="008C1E05">
        <w:rPr>
          <w:rFonts w:ascii="Times New Roman" w:hAnsi="Times New Roman" w:cs="Times New Roman"/>
          <w:sz w:val="28"/>
          <w:szCs w:val="28"/>
        </w:rPr>
        <w:t>.</w:t>
      </w:r>
    </w:p>
    <w:p w:rsidR="00360D44" w:rsidRPr="008C1E05" w:rsidRDefault="00E2695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3.</w:t>
      </w:r>
      <w:r w:rsidR="00FC5F58" w:rsidRPr="008C1E05">
        <w:rPr>
          <w:rFonts w:ascii="Times New Roman" w:hAnsi="Times New Roman" w:cs="Times New Roman"/>
          <w:sz w:val="28"/>
          <w:szCs w:val="28"/>
        </w:rPr>
        <w:t>3</w:t>
      </w:r>
      <w:r w:rsidRPr="008C1E05">
        <w:rPr>
          <w:rFonts w:ascii="Times New Roman" w:hAnsi="Times New Roman" w:cs="Times New Roman"/>
          <w:sz w:val="28"/>
          <w:szCs w:val="28"/>
        </w:rPr>
        <w:t xml:space="preserve">. </w:t>
      </w:r>
      <w:r w:rsidR="002B382E" w:rsidRPr="008C1E05">
        <w:rPr>
          <w:rFonts w:ascii="Times New Roman" w:hAnsi="Times New Roman" w:cs="Times New Roman"/>
          <w:sz w:val="28"/>
          <w:szCs w:val="28"/>
        </w:rPr>
        <w:t>Мониторинг проводится ежегодно ответственным за работу над вектором</w:t>
      </w:r>
      <w:r w:rsidR="00193C1E" w:rsidRPr="008C1E05">
        <w:rPr>
          <w:rFonts w:ascii="Times New Roman" w:hAnsi="Times New Roman" w:cs="Times New Roman"/>
          <w:sz w:val="28"/>
          <w:szCs w:val="28"/>
        </w:rPr>
        <w:t xml:space="preserve"> и направляется в срок </w:t>
      </w:r>
      <w:r w:rsidR="00E17922" w:rsidRPr="008C1E05">
        <w:rPr>
          <w:rFonts w:ascii="Times New Roman" w:hAnsi="Times New Roman" w:cs="Times New Roman"/>
          <w:sz w:val="28"/>
          <w:szCs w:val="28"/>
        </w:rPr>
        <w:t xml:space="preserve">до 10 февраля года, следующего за отчетным, </w:t>
      </w:r>
      <w:r w:rsidR="00193C1E" w:rsidRPr="008C1E05">
        <w:rPr>
          <w:rFonts w:ascii="Times New Roman" w:hAnsi="Times New Roman" w:cs="Times New Roman"/>
          <w:sz w:val="28"/>
          <w:szCs w:val="28"/>
        </w:rPr>
        <w:t>ответственному за направление Стратегии</w:t>
      </w:r>
      <w:r w:rsidRPr="008C1E05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и формирования </w:t>
      </w:r>
      <w:r w:rsidR="00360D44" w:rsidRPr="008C1E05">
        <w:rPr>
          <w:rFonts w:ascii="Times New Roman" w:hAnsi="Times New Roman" w:cs="Times New Roman"/>
          <w:sz w:val="28"/>
          <w:szCs w:val="28"/>
        </w:rPr>
        <w:lastRenderedPageBreak/>
        <w:t xml:space="preserve">сводного </w:t>
      </w:r>
      <w:r w:rsidR="00261B97" w:rsidRPr="008C1E05">
        <w:rPr>
          <w:rFonts w:ascii="Times New Roman" w:hAnsi="Times New Roman" w:cs="Times New Roman"/>
          <w:sz w:val="28"/>
          <w:szCs w:val="28"/>
        </w:rPr>
        <w:t>документа</w:t>
      </w:r>
      <w:r w:rsidR="00FC5F58" w:rsidRPr="008C1E05">
        <w:rPr>
          <w:rFonts w:ascii="Times New Roman" w:hAnsi="Times New Roman" w:cs="Times New Roman"/>
          <w:sz w:val="28"/>
          <w:szCs w:val="28"/>
        </w:rPr>
        <w:t xml:space="preserve">, отражающего </w:t>
      </w:r>
      <w:r w:rsidR="00261B97" w:rsidRPr="008C1E05">
        <w:rPr>
          <w:rFonts w:ascii="Times New Roman" w:hAnsi="Times New Roman" w:cs="Times New Roman"/>
          <w:sz w:val="28"/>
          <w:szCs w:val="28"/>
        </w:rPr>
        <w:t>результат</w:t>
      </w:r>
      <w:r w:rsidR="00FC5F58" w:rsidRPr="008C1E05">
        <w:rPr>
          <w:rFonts w:ascii="Times New Roman" w:hAnsi="Times New Roman" w:cs="Times New Roman"/>
          <w:sz w:val="28"/>
          <w:szCs w:val="28"/>
        </w:rPr>
        <w:t>ы</w:t>
      </w:r>
      <w:r w:rsidR="00261B97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360D44" w:rsidRPr="008C1E05">
        <w:rPr>
          <w:rFonts w:ascii="Times New Roman" w:hAnsi="Times New Roman" w:cs="Times New Roman"/>
          <w:sz w:val="28"/>
          <w:szCs w:val="28"/>
        </w:rPr>
        <w:t>мониторинга</w:t>
      </w:r>
      <w:r w:rsidR="00DA4BA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плана мероприятий по направлению Стратегии.</w:t>
      </w:r>
    </w:p>
    <w:p w:rsidR="00E26952" w:rsidRDefault="004E0A1B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60D44" w:rsidRPr="008C1E05">
        <w:rPr>
          <w:rFonts w:ascii="Times New Roman" w:hAnsi="Times New Roman" w:cs="Times New Roman"/>
          <w:sz w:val="28"/>
          <w:szCs w:val="28"/>
        </w:rPr>
        <w:t>. Сводн</w:t>
      </w:r>
      <w:r w:rsidR="00E35410" w:rsidRPr="008C1E05">
        <w:rPr>
          <w:rFonts w:ascii="Times New Roman" w:hAnsi="Times New Roman" w:cs="Times New Roman"/>
          <w:sz w:val="28"/>
          <w:szCs w:val="28"/>
        </w:rPr>
        <w:t>ый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C7147B" w:rsidRPr="008C1E05">
        <w:rPr>
          <w:rFonts w:ascii="Times New Roman" w:hAnsi="Times New Roman" w:cs="Times New Roman"/>
          <w:sz w:val="28"/>
          <w:szCs w:val="28"/>
        </w:rPr>
        <w:t>документ</w:t>
      </w:r>
      <w:r w:rsidR="00FC5F58" w:rsidRPr="008C1E05">
        <w:rPr>
          <w:rFonts w:ascii="Times New Roman" w:hAnsi="Times New Roman" w:cs="Times New Roman"/>
          <w:sz w:val="28"/>
          <w:szCs w:val="28"/>
        </w:rPr>
        <w:t>, отражающий</w:t>
      </w:r>
      <w:r w:rsidR="00C7147B" w:rsidRPr="008C1E0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C5F58" w:rsidRPr="008C1E05">
        <w:rPr>
          <w:rFonts w:ascii="Times New Roman" w:hAnsi="Times New Roman" w:cs="Times New Roman"/>
          <w:sz w:val="28"/>
          <w:szCs w:val="28"/>
        </w:rPr>
        <w:t>ы</w:t>
      </w:r>
      <w:r w:rsidR="00C7147B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360D44" w:rsidRPr="008C1E05">
        <w:rPr>
          <w:rFonts w:ascii="Times New Roman" w:hAnsi="Times New Roman" w:cs="Times New Roman"/>
          <w:sz w:val="28"/>
          <w:szCs w:val="28"/>
        </w:rPr>
        <w:t>мониторинг</w:t>
      </w:r>
      <w:r w:rsidR="00C7147B" w:rsidRPr="008C1E05">
        <w:rPr>
          <w:rFonts w:ascii="Times New Roman" w:hAnsi="Times New Roman" w:cs="Times New Roman"/>
          <w:sz w:val="28"/>
          <w:szCs w:val="28"/>
        </w:rPr>
        <w:t>а</w:t>
      </w:r>
      <w:r w:rsidR="00DA4BA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плана мероприятий по направлению Стратегии</w:t>
      </w:r>
      <w:r w:rsidR="00FC5F58" w:rsidRPr="008C1E05">
        <w:rPr>
          <w:rFonts w:ascii="Times New Roman" w:hAnsi="Times New Roman" w:cs="Times New Roman"/>
          <w:sz w:val="28"/>
          <w:szCs w:val="28"/>
        </w:rPr>
        <w:t>,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составляется аналогично мониторингу по вектору. Сводный </w:t>
      </w:r>
      <w:r w:rsidR="00C7147B" w:rsidRPr="008C1E05">
        <w:rPr>
          <w:rFonts w:ascii="Times New Roman" w:hAnsi="Times New Roman" w:cs="Times New Roman"/>
          <w:sz w:val="28"/>
          <w:szCs w:val="28"/>
        </w:rPr>
        <w:t>документ</w:t>
      </w:r>
      <w:r w:rsidR="00FC5F58" w:rsidRPr="008C1E05">
        <w:rPr>
          <w:rFonts w:ascii="Times New Roman" w:hAnsi="Times New Roman" w:cs="Times New Roman"/>
          <w:sz w:val="28"/>
          <w:szCs w:val="28"/>
        </w:rPr>
        <w:t>, отражающий</w:t>
      </w:r>
      <w:r w:rsidR="00C7147B" w:rsidRPr="008C1E0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FC5F58" w:rsidRPr="008C1E05">
        <w:rPr>
          <w:rFonts w:ascii="Times New Roman" w:hAnsi="Times New Roman" w:cs="Times New Roman"/>
          <w:sz w:val="28"/>
          <w:szCs w:val="28"/>
        </w:rPr>
        <w:t>ы</w:t>
      </w:r>
      <w:r w:rsidR="00C7147B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360D44" w:rsidRPr="008C1E05">
        <w:rPr>
          <w:rFonts w:ascii="Times New Roman" w:hAnsi="Times New Roman" w:cs="Times New Roman"/>
          <w:sz w:val="28"/>
          <w:szCs w:val="28"/>
        </w:rPr>
        <w:t>мониторинг</w:t>
      </w:r>
      <w:r w:rsidR="00C7147B" w:rsidRPr="008C1E05">
        <w:rPr>
          <w:rFonts w:ascii="Times New Roman" w:hAnsi="Times New Roman" w:cs="Times New Roman"/>
          <w:sz w:val="28"/>
          <w:szCs w:val="28"/>
        </w:rPr>
        <w:t>а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360D44" w:rsidRPr="008C1E05">
        <w:rPr>
          <w:rFonts w:ascii="Times New Roman" w:hAnsi="Times New Roman" w:cs="Times New Roman"/>
          <w:sz w:val="28"/>
          <w:szCs w:val="28"/>
        </w:rPr>
        <w:t>плана мероприятий по направлению Стратегии</w:t>
      </w:r>
      <w:r w:rsidR="00FC5F58" w:rsidRPr="008C1E05">
        <w:rPr>
          <w:rFonts w:ascii="Times New Roman" w:hAnsi="Times New Roman" w:cs="Times New Roman"/>
          <w:sz w:val="28"/>
          <w:szCs w:val="28"/>
        </w:rPr>
        <w:t>,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составляет о</w:t>
      </w:r>
      <w:r w:rsidR="00E26952" w:rsidRPr="008C1E05">
        <w:rPr>
          <w:rFonts w:ascii="Times New Roman" w:hAnsi="Times New Roman" w:cs="Times New Roman"/>
          <w:sz w:val="28"/>
          <w:szCs w:val="28"/>
        </w:rPr>
        <w:t>тветственны</w:t>
      </w:r>
      <w:r w:rsidR="00360D44" w:rsidRPr="008C1E05">
        <w:rPr>
          <w:rFonts w:ascii="Times New Roman" w:hAnsi="Times New Roman" w:cs="Times New Roman"/>
          <w:sz w:val="28"/>
          <w:szCs w:val="28"/>
        </w:rPr>
        <w:t>й</w:t>
      </w:r>
      <w:r w:rsidR="00E26952" w:rsidRPr="008C1E05">
        <w:rPr>
          <w:rFonts w:ascii="Times New Roman" w:hAnsi="Times New Roman" w:cs="Times New Roman"/>
          <w:sz w:val="28"/>
          <w:szCs w:val="28"/>
        </w:rPr>
        <w:t xml:space="preserve"> за направление Стратегии 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и </w:t>
      </w:r>
      <w:r w:rsidR="00D35D4A" w:rsidRPr="00916141">
        <w:rPr>
          <w:rFonts w:ascii="Times New Roman" w:hAnsi="Times New Roman" w:cs="Times New Roman"/>
          <w:sz w:val="28"/>
          <w:szCs w:val="28"/>
        </w:rPr>
        <w:t xml:space="preserve">в срок до 20 февраля года, следующего за отчетным, направляет </w:t>
      </w:r>
      <w:r w:rsidR="00360D44" w:rsidRPr="00916141">
        <w:rPr>
          <w:rFonts w:ascii="Times New Roman" w:hAnsi="Times New Roman" w:cs="Times New Roman"/>
          <w:sz w:val="28"/>
          <w:szCs w:val="28"/>
        </w:rPr>
        <w:t>на согласование</w:t>
      </w:r>
      <w:r w:rsidR="00360D44" w:rsidRPr="008C1E05">
        <w:rPr>
          <w:rFonts w:ascii="Times New Roman" w:hAnsi="Times New Roman" w:cs="Times New Roman"/>
          <w:sz w:val="28"/>
          <w:szCs w:val="28"/>
        </w:rPr>
        <w:t xml:space="preserve"> Главе города.</w:t>
      </w:r>
    </w:p>
    <w:p w:rsidR="00D35D4A" w:rsidRPr="008C1E05" w:rsidRDefault="00D35D4A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В случае наличия замечаний Главы города к результатам мониторинга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1E05">
        <w:rPr>
          <w:rFonts w:ascii="Times New Roman" w:hAnsi="Times New Roman" w:cs="Times New Roman"/>
          <w:sz w:val="28"/>
          <w:szCs w:val="28"/>
        </w:rPr>
        <w:t>плана мероприятий, документ направляется на доработку.</w:t>
      </w:r>
    </w:p>
    <w:p w:rsidR="00360D44" w:rsidRPr="008C1E05" w:rsidRDefault="009C1A8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Согласованные</w:t>
      </w:r>
      <w:r w:rsidR="003B6259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D35D4A" w:rsidRPr="008C1E05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="004C16D7" w:rsidRPr="008C1E05">
        <w:rPr>
          <w:rFonts w:ascii="Times New Roman" w:hAnsi="Times New Roman" w:cs="Times New Roman"/>
          <w:sz w:val="28"/>
          <w:szCs w:val="28"/>
        </w:rPr>
        <w:t>результат</w:t>
      </w:r>
      <w:r w:rsidRPr="008C1E05">
        <w:rPr>
          <w:rFonts w:ascii="Times New Roman" w:hAnsi="Times New Roman" w:cs="Times New Roman"/>
          <w:sz w:val="28"/>
          <w:szCs w:val="28"/>
        </w:rPr>
        <w:t>ы</w:t>
      </w:r>
      <w:r w:rsidR="004C16D7" w:rsidRPr="008C1E05">
        <w:rPr>
          <w:rFonts w:ascii="Times New Roman" w:hAnsi="Times New Roman" w:cs="Times New Roman"/>
          <w:sz w:val="28"/>
          <w:szCs w:val="28"/>
        </w:rPr>
        <w:t xml:space="preserve"> м</w:t>
      </w:r>
      <w:r w:rsidR="001773E3" w:rsidRPr="008C1E05">
        <w:rPr>
          <w:rFonts w:ascii="Times New Roman" w:hAnsi="Times New Roman" w:cs="Times New Roman"/>
          <w:sz w:val="28"/>
          <w:szCs w:val="28"/>
        </w:rPr>
        <w:t xml:space="preserve">ониторинга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773E3" w:rsidRPr="008C1E05">
        <w:rPr>
          <w:rFonts w:ascii="Times New Roman" w:hAnsi="Times New Roman" w:cs="Times New Roman"/>
          <w:sz w:val="28"/>
          <w:szCs w:val="28"/>
        </w:rPr>
        <w:t xml:space="preserve">плана мероприятий, </w:t>
      </w:r>
      <w:r w:rsidR="003B6259" w:rsidRPr="008C1E05">
        <w:rPr>
          <w:rFonts w:ascii="Times New Roman" w:hAnsi="Times New Roman" w:cs="Times New Roman"/>
          <w:sz w:val="28"/>
          <w:szCs w:val="28"/>
        </w:rPr>
        <w:t>ответственные за направлени</w:t>
      </w:r>
      <w:r w:rsidR="00D35D4A">
        <w:rPr>
          <w:rFonts w:ascii="Times New Roman" w:hAnsi="Times New Roman" w:cs="Times New Roman"/>
          <w:sz w:val="28"/>
          <w:szCs w:val="28"/>
        </w:rPr>
        <w:t>я</w:t>
      </w:r>
      <w:r w:rsidR="003B6259" w:rsidRPr="008C1E05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 w:rsidR="001773E3" w:rsidRPr="008C1E05">
        <w:rPr>
          <w:rFonts w:ascii="Times New Roman" w:hAnsi="Times New Roman" w:cs="Times New Roman"/>
          <w:sz w:val="28"/>
          <w:szCs w:val="28"/>
        </w:rPr>
        <w:t xml:space="preserve"> </w:t>
      </w:r>
      <w:r w:rsidR="003B6259" w:rsidRPr="008C1E05">
        <w:rPr>
          <w:rFonts w:ascii="Times New Roman" w:hAnsi="Times New Roman" w:cs="Times New Roman"/>
          <w:sz w:val="28"/>
          <w:szCs w:val="28"/>
        </w:rPr>
        <w:t xml:space="preserve">в департамент по экономической политике для </w:t>
      </w:r>
      <w:r w:rsidR="00D35D4A">
        <w:rPr>
          <w:rFonts w:ascii="Times New Roman" w:hAnsi="Times New Roman" w:cs="Times New Roman"/>
          <w:sz w:val="28"/>
          <w:szCs w:val="28"/>
        </w:rPr>
        <w:t xml:space="preserve">формирования сводного отчета о реализации плана мероприятий и </w:t>
      </w:r>
      <w:r w:rsidR="003B6259" w:rsidRPr="008C1E05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D35D4A">
        <w:rPr>
          <w:rFonts w:ascii="Times New Roman" w:hAnsi="Times New Roman" w:cs="Times New Roman"/>
          <w:sz w:val="28"/>
          <w:szCs w:val="28"/>
        </w:rPr>
        <w:t xml:space="preserve">его </w:t>
      </w:r>
      <w:r w:rsidR="00360D44" w:rsidRPr="008C1E05">
        <w:rPr>
          <w:rFonts w:ascii="Times New Roman" w:hAnsi="Times New Roman" w:cs="Times New Roman"/>
          <w:sz w:val="28"/>
          <w:szCs w:val="28"/>
        </w:rPr>
        <w:t>в проект ежегодных отчетов Главы города о результатах его деятельности и деятельности Администрации города, в том числе о решении вопросов, поставленных Думой города.</w:t>
      </w:r>
    </w:p>
    <w:p w:rsidR="009C1A82" w:rsidRPr="008C1E05" w:rsidRDefault="009C1A8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Ответственные за направлени</w:t>
      </w:r>
      <w:r w:rsidR="00916141">
        <w:rPr>
          <w:rFonts w:ascii="Times New Roman" w:hAnsi="Times New Roman" w:cs="Times New Roman"/>
          <w:sz w:val="28"/>
          <w:szCs w:val="28"/>
        </w:rPr>
        <w:t>я</w:t>
      </w:r>
      <w:r w:rsidRPr="008C1E05">
        <w:rPr>
          <w:rFonts w:ascii="Times New Roman" w:hAnsi="Times New Roman" w:cs="Times New Roman"/>
          <w:sz w:val="28"/>
          <w:szCs w:val="28"/>
        </w:rPr>
        <w:t xml:space="preserve"> представляют результаты мониторинга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1E05">
        <w:rPr>
          <w:rFonts w:ascii="Times New Roman" w:hAnsi="Times New Roman" w:cs="Times New Roman"/>
          <w:sz w:val="28"/>
          <w:szCs w:val="28"/>
        </w:rPr>
        <w:t>плана мероприятий в департамент по экономической политике в срок не позднее 1 марта года, следующего за отчетным.</w:t>
      </w:r>
    </w:p>
    <w:p w:rsidR="00E17922" w:rsidRPr="008C1E05" w:rsidRDefault="004E0A1B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3542">
        <w:rPr>
          <w:rFonts w:ascii="Times New Roman" w:hAnsi="Times New Roman" w:cs="Times New Roman"/>
          <w:sz w:val="28"/>
          <w:szCs w:val="28"/>
        </w:rPr>
        <w:t>.5</w:t>
      </w:r>
      <w:r w:rsidR="00E26952" w:rsidRPr="001E3542">
        <w:rPr>
          <w:rFonts w:ascii="Times New Roman" w:hAnsi="Times New Roman" w:cs="Times New Roman"/>
          <w:sz w:val="28"/>
          <w:szCs w:val="28"/>
        </w:rPr>
        <w:t xml:space="preserve">. </w:t>
      </w:r>
      <w:r w:rsidR="00E17922" w:rsidRPr="001E3542">
        <w:rPr>
          <w:rFonts w:ascii="Times New Roman" w:hAnsi="Times New Roman" w:cs="Times New Roman"/>
          <w:sz w:val="28"/>
          <w:szCs w:val="28"/>
        </w:rPr>
        <w:t xml:space="preserve">При выявлении в результате мониторинга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17922" w:rsidRPr="001E3542">
        <w:rPr>
          <w:rFonts w:ascii="Times New Roman" w:hAnsi="Times New Roman" w:cs="Times New Roman"/>
          <w:sz w:val="28"/>
          <w:szCs w:val="28"/>
        </w:rPr>
        <w:t>плана мероприятий ответственным за работу над вектором/направлением Стратегии необходимости</w:t>
      </w:r>
      <w:r w:rsidR="00E26952" w:rsidRPr="001E3542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="00E17922" w:rsidRPr="001E3542">
        <w:rPr>
          <w:rFonts w:ascii="Times New Roman" w:hAnsi="Times New Roman" w:cs="Times New Roman"/>
          <w:sz w:val="28"/>
          <w:szCs w:val="28"/>
        </w:rPr>
        <w:t xml:space="preserve"> </w:t>
      </w:r>
      <w:r w:rsidR="00C7147B" w:rsidRPr="001E3542">
        <w:rPr>
          <w:rFonts w:ascii="Times New Roman" w:hAnsi="Times New Roman" w:cs="Times New Roman"/>
          <w:sz w:val="28"/>
          <w:szCs w:val="28"/>
        </w:rPr>
        <w:t xml:space="preserve">утверждённый </w:t>
      </w:r>
      <w:r w:rsidR="00E17922" w:rsidRPr="001E3542">
        <w:rPr>
          <w:rFonts w:ascii="Times New Roman" w:hAnsi="Times New Roman" w:cs="Times New Roman"/>
          <w:sz w:val="28"/>
          <w:szCs w:val="28"/>
        </w:rPr>
        <w:t>план мероприятий</w:t>
      </w:r>
      <w:r w:rsidR="00E26952" w:rsidRPr="001E3542">
        <w:rPr>
          <w:rFonts w:ascii="Times New Roman" w:hAnsi="Times New Roman" w:cs="Times New Roman"/>
          <w:sz w:val="28"/>
          <w:szCs w:val="28"/>
        </w:rPr>
        <w:t xml:space="preserve">, </w:t>
      </w:r>
      <w:r w:rsidR="00800D64" w:rsidRPr="001E3542">
        <w:rPr>
          <w:rFonts w:ascii="Times New Roman" w:hAnsi="Times New Roman" w:cs="Times New Roman"/>
          <w:sz w:val="28"/>
          <w:szCs w:val="28"/>
        </w:rPr>
        <w:t xml:space="preserve">внесение указанных изменений </w:t>
      </w:r>
      <w:r w:rsidR="00E26952" w:rsidRPr="001E3542">
        <w:rPr>
          <w:rFonts w:ascii="Times New Roman" w:hAnsi="Times New Roman" w:cs="Times New Roman"/>
          <w:sz w:val="28"/>
          <w:szCs w:val="28"/>
        </w:rPr>
        <w:t>осуществля</w:t>
      </w:r>
      <w:r w:rsidR="00800D64" w:rsidRPr="001E3542">
        <w:rPr>
          <w:rFonts w:ascii="Times New Roman" w:hAnsi="Times New Roman" w:cs="Times New Roman"/>
          <w:sz w:val="28"/>
          <w:szCs w:val="28"/>
        </w:rPr>
        <w:t>е</w:t>
      </w:r>
      <w:r w:rsidR="00E26952" w:rsidRPr="001E3542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</w:t>
      </w:r>
      <w:r w:rsidR="00270352" w:rsidRPr="001E3542">
        <w:rPr>
          <w:rFonts w:ascii="Times New Roman" w:hAnsi="Times New Roman" w:cs="Times New Roman"/>
          <w:sz w:val="28"/>
          <w:szCs w:val="28"/>
        </w:rPr>
        <w:t>частью</w:t>
      </w:r>
      <w:r w:rsidR="00E26952" w:rsidRPr="001E3542">
        <w:rPr>
          <w:rFonts w:ascii="Times New Roman" w:hAnsi="Times New Roman" w:cs="Times New Roman"/>
          <w:sz w:val="28"/>
          <w:szCs w:val="28"/>
        </w:rPr>
        <w:t xml:space="preserve"> 2 статьи 4 положения об определении последовательности и порядка разработки документов стратегического планирования и их содержания, утвержденном решением</w:t>
      </w:r>
      <w:r w:rsidR="00E26952" w:rsidRPr="008C1E05">
        <w:rPr>
          <w:rFonts w:ascii="Times New Roman" w:hAnsi="Times New Roman" w:cs="Times New Roman"/>
          <w:sz w:val="28"/>
          <w:szCs w:val="28"/>
        </w:rPr>
        <w:t xml:space="preserve"> Думы города от 25.02.2015 № 652-</w:t>
      </w:r>
      <w:r w:rsidR="00E26952" w:rsidRPr="008C1E0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70352">
        <w:rPr>
          <w:rFonts w:ascii="Times New Roman" w:hAnsi="Times New Roman" w:cs="Times New Roman"/>
          <w:sz w:val="28"/>
          <w:szCs w:val="28"/>
        </w:rPr>
        <w:t xml:space="preserve"> ДГ.</w:t>
      </w:r>
    </w:p>
    <w:p w:rsidR="002B382E" w:rsidRPr="008C1E05" w:rsidRDefault="002B382E" w:rsidP="00242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1017" w:rsidRPr="008C1E05" w:rsidRDefault="00237276" w:rsidP="00BE1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4.</w:t>
      </w:r>
      <w:r w:rsidR="00BE1017" w:rsidRPr="008C1E05">
        <w:rPr>
          <w:rFonts w:ascii="Times New Roman" w:hAnsi="Times New Roman" w:cs="Times New Roman"/>
          <w:sz w:val="28"/>
          <w:szCs w:val="28"/>
        </w:rPr>
        <w:t xml:space="preserve"> Мониторинг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E1017" w:rsidRPr="008C1E05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городской округ город Сургут </w:t>
      </w:r>
    </w:p>
    <w:p w:rsidR="00BE1017" w:rsidRPr="008C1E05" w:rsidRDefault="00BE1017" w:rsidP="00BE101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на среднесрочный или долгосрочный период</w:t>
      </w:r>
    </w:p>
    <w:p w:rsidR="00FE6E1B" w:rsidRPr="008C1E05" w:rsidRDefault="00FE6E1B" w:rsidP="00046F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E3542" w:rsidRPr="00061A8A" w:rsidRDefault="00BE1017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A8A">
        <w:rPr>
          <w:rFonts w:ascii="Times New Roman" w:hAnsi="Times New Roman" w:cs="Times New Roman"/>
          <w:sz w:val="28"/>
          <w:szCs w:val="28"/>
        </w:rPr>
        <w:t>4.1.</w:t>
      </w:r>
      <w:r w:rsidR="001E3542" w:rsidRPr="00061A8A">
        <w:rPr>
          <w:rFonts w:ascii="Times New Roman" w:hAnsi="Times New Roman" w:cs="Times New Roman"/>
          <w:sz w:val="28"/>
          <w:szCs w:val="28"/>
        </w:rPr>
        <w:t xml:space="preserve"> Мониторинг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E3542" w:rsidRPr="00061A8A"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муниципального образования городской округ город Сургут на среднесрочный или долгосрочный период (далее – мониторинг прогноза) осуществляется на основе анализа основных показателей социально-экономического развития муниципального образования городской округ город Сургут.</w:t>
      </w:r>
    </w:p>
    <w:p w:rsidR="00B309CF" w:rsidRPr="003723D4" w:rsidRDefault="00E35410" w:rsidP="00046F7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7A2980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ониторинг </w:t>
      </w:r>
      <w:r w:rsidR="00DA4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реализации </w:t>
      </w:r>
      <w:r w:rsidR="007A2980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прогноза </w:t>
      </w:r>
      <w:r w:rsidR="0091149C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проводится </w:t>
      </w:r>
      <w:r w:rsidR="00061A8A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департаментом по экономической политике на основании </w:t>
      </w:r>
      <w:r w:rsidR="00061A8A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информации</w:t>
      </w:r>
      <w:r w:rsidR="00061A8A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>, предоставляем</w:t>
      </w:r>
      <w:r w:rsidR="00586EF0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061A8A" w:rsidRPr="00061A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6EF0" w:rsidRPr="00586EF0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организациями</w:t>
      </w:r>
      <w:r w:rsidR="00046F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всех организационно-правовых форм, расположенных на территории</w:t>
      </w:r>
      <w:r w:rsidR="00586EF0" w:rsidRPr="00586E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города, органами государственной власти, структурными подра</w:t>
      </w:r>
      <w:r w:rsidR="00586EF0">
        <w:rPr>
          <w:rFonts w:ascii="Times New Roman" w:hAnsi="Times New Roman" w:cs="Times New Roman"/>
          <w:b w:val="0"/>
          <w:color w:val="auto"/>
          <w:sz w:val="28"/>
          <w:szCs w:val="28"/>
        </w:rPr>
        <w:t>зделениями Администрации города</w:t>
      </w:r>
      <w:r w:rsidR="00586EF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586EF0" w:rsidRPr="00586E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 также собственны</w:t>
      </w:r>
      <w:r w:rsidR="00586EF0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="00586EF0" w:rsidRPr="00586E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разработ</w:t>
      </w:r>
      <w:r w:rsidR="00586EF0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586EF0" w:rsidRPr="00586EF0">
        <w:rPr>
          <w:rFonts w:ascii="Times New Roman" w:hAnsi="Times New Roman" w:cs="Times New Roman"/>
          <w:b w:val="0"/>
          <w:color w:val="auto"/>
          <w:sz w:val="28"/>
          <w:szCs w:val="28"/>
        </w:rPr>
        <w:t>к и расчет</w:t>
      </w:r>
      <w:r w:rsidR="00586EF0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="00E234EB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770F8" w:rsidRPr="003723D4" w:rsidRDefault="00D03C65" w:rsidP="00046F7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4.2. </w:t>
      </w:r>
      <w:r w:rsidR="0091149C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Структурные подразделения </w:t>
      </w:r>
      <w:r w:rsidR="00E234EB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ежеквартально </w:t>
      </w:r>
      <w:r w:rsidR="00B309CF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срок до 15 числа месяца, следующего за отчетным</w:t>
      </w:r>
      <w:r w:rsidR="00061A8A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периодом</w:t>
      </w:r>
      <w:r w:rsidR="00B309CF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предоставляют в департамент по экономической политике информацию</w:t>
      </w:r>
      <w:r w:rsidR="001770F8" w:rsidRPr="003723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деятельности отрасли (предприятия, учреждения) за отчетный период, положительные и отрицательные тенденции развития;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наличие и состояние материально-технической базы (на конец отчетного периода), реорганизация предприятий, учреждений, структурные изменения, обеспеченность по нормативу;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динамика основных показателей с обоснованием причин роста или аргументацией причин падения объемов выпуска товаров (работ/услуг) к соответствующему периоду прошлого года в стоимостном и натуральном выражении,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выполнение основных мероприятий развития отрасли (предприятия, учреждения) за отчетный период;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целевые показатели, обеспечивающие достижение индикаторов планируемого уровня, экономический эффект реализации проектов и программ, положительные и отрицательные моменты результативности;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влияние результатов деятельности органов местного самоуправления на качество жизни населения, в том числе эффективность прямого влияния органов местного самоуправления на результаты реализации мероприятий целевых программ;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итоги внедрения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нововведений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реформирование и совершенствование сфер, внедрение новых технологий, введение государственных стандартов, применение новейших методологий и норм;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численность работающих, укомплектованность и обеспеченность кадрами, создание новых рабочих мест, выбытие в связи с сокращением рабочих мест;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инвестиции в развитие отрасли (предприятия, учреждения) в разрезе всех источников финансирования, инвестиционные проекты и программы;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строительство и ввод в эксплуатацию новых мощностей, расширение площадей, модернизация, реконструкция, обновление, оснащение объектов (по каждому объекту - сроки строительства/реконструкции, занимаемая площадь, мощность/вместимость, сметная стоимость и источники финансирования);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эффективность форм и методов государственной (муниципальной) поддержки;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цены и тарифы на товары и услуги, цены предприятий-производителей, влияние ценовой (тарифной) политики на развитие отрасли (предприятия, учреждения);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мероприятия по привлечению дополнительных средств в бюджет муниципального образования, меры по урегулированию кредиторской и дебиторской задолженности организаций;</w:t>
      </w:r>
    </w:p>
    <w:p w:rsidR="00586EF0" w:rsidRP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организационно-технические, финансово-экономические и другие проблемы деятельности отрасли (предприятия, учреждения);</w:t>
      </w:r>
    </w:p>
    <w:p w:rsidR="00586EF0" w:rsidRDefault="00586EF0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046F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586E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принимаемые меры, основные направления и приоритетные задачи развития отрасли (предприятия, учреждения) в перспективе.</w:t>
      </w:r>
    </w:p>
    <w:p w:rsidR="00DA4BA2" w:rsidRPr="00586EF0" w:rsidRDefault="00DA4BA2" w:rsidP="00046F79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Департамент по экономической политике направляет запросы о предоставлении информации, указанной в пункте 4.2. настоящего постановления, в организации всех организационно-правовых форм,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расположенные на территории города, органы государственной власти.</w:t>
      </w:r>
    </w:p>
    <w:p w:rsidR="00B309CF" w:rsidRPr="003723D4" w:rsidRDefault="00DA4BA2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86EF0">
        <w:rPr>
          <w:rFonts w:ascii="Times New Roman" w:hAnsi="Times New Roman" w:cs="Times New Roman"/>
          <w:sz w:val="28"/>
          <w:szCs w:val="28"/>
        </w:rPr>
        <w:t xml:space="preserve">. </w:t>
      </w:r>
      <w:r w:rsidR="00B309CF" w:rsidRPr="003723D4">
        <w:rPr>
          <w:rFonts w:ascii="Times New Roman" w:hAnsi="Times New Roman" w:cs="Times New Roman"/>
          <w:sz w:val="28"/>
          <w:szCs w:val="28"/>
        </w:rPr>
        <w:t xml:space="preserve">Департамент по экономической политике </w:t>
      </w:r>
      <w:r w:rsidR="00246619" w:rsidRPr="003723D4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B309CF" w:rsidRPr="003723D4">
        <w:rPr>
          <w:rFonts w:ascii="Times New Roman" w:hAnsi="Times New Roman" w:cs="Times New Roman"/>
          <w:sz w:val="28"/>
          <w:szCs w:val="28"/>
        </w:rPr>
        <w:t>в срок до 25 числа месяца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9CF" w:rsidRPr="003723D4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246619" w:rsidRPr="003723D4"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="00F15A6B" w:rsidRPr="003723D4">
        <w:rPr>
          <w:rFonts w:ascii="Times New Roman" w:hAnsi="Times New Roman" w:cs="Times New Roman"/>
          <w:sz w:val="28"/>
          <w:szCs w:val="28"/>
        </w:rPr>
        <w:t>,</w:t>
      </w:r>
      <w:r w:rsidR="00B309CF" w:rsidRPr="003723D4">
        <w:rPr>
          <w:rFonts w:ascii="Times New Roman" w:hAnsi="Times New Roman" w:cs="Times New Roman"/>
          <w:sz w:val="28"/>
          <w:szCs w:val="28"/>
        </w:rPr>
        <w:t xml:space="preserve"> </w:t>
      </w:r>
      <w:r w:rsidR="003723D4" w:rsidRPr="003723D4">
        <w:rPr>
          <w:rFonts w:ascii="Times New Roman" w:hAnsi="Times New Roman" w:cs="Times New Roman"/>
          <w:sz w:val="28"/>
          <w:szCs w:val="28"/>
        </w:rPr>
        <w:t>проводит</w:t>
      </w:r>
      <w:r w:rsidR="00B309CF" w:rsidRPr="003723D4">
        <w:rPr>
          <w:rFonts w:ascii="Times New Roman" w:hAnsi="Times New Roman" w:cs="Times New Roman"/>
          <w:sz w:val="28"/>
          <w:szCs w:val="28"/>
        </w:rPr>
        <w:t xml:space="preserve"> </w:t>
      </w:r>
      <w:r w:rsidR="003723D4" w:rsidRPr="003723D4">
        <w:rPr>
          <w:rFonts w:ascii="Times New Roman" w:hAnsi="Times New Roman" w:cs="Times New Roman"/>
          <w:sz w:val="28"/>
          <w:szCs w:val="28"/>
        </w:rPr>
        <w:t xml:space="preserve">анализ основных показателей социально-экономического развития муниципального образования городской округ город Сургут и формирует </w:t>
      </w:r>
      <w:r w:rsidR="00B309CF" w:rsidRPr="003723D4">
        <w:rPr>
          <w:rFonts w:ascii="Times New Roman" w:hAnsi="Times New Roman" w:cs="Times New Roman"/>
          <w:sz w:val="28"/>
          <w:szCs w:val="28"/>
        </w:rPr>
        <w:t>сводный документ о социально</w:t>
      </w:r>
      <w:r w:rsidR="00E642C5" w:rsidRPr="003723D4">
        <w:rPr>
          <w:rFonts w:ascii="Times New Roman" w:hAnsi="Times New Roman" w:cs="Times New Roman"/>
          <w:sz w:val="28"/>
          <w:szCs w:val="28"/>
        </w:rPr>
        <w:t>-</w:t>
      </w:r>
      <w:r w:rsidR="00B309CF" w:rsidRPr="003723D4">
        <w:rPr>
          <w:rFonts w:ascii="Times New Roman" w:hAnsi="Times New Roman" w:cs="Times New Roman"/>
          <w:sz w:val="28"/>
          <w:szCs w:val="28"/>
        </w:rPr>
        <w:t>экономическом развитии города</w:t>
      </w:r>
      <w:r w:rsidR="00A77537" w:rsidRPr="003723D4">
        <w:rPr>
          <w:rFonts w:ascii="Times New Roman" w:hAnsi="Times New Roman" w:cs="Times New Roman"/>
          <w:sz w:val="28"/>
          <w:szCs w:val="28"/>
        </w:rPr>
        <w:t>.</w:t>
      </w:r>
    </w:p>
    <w:p w:rsidR="004E0A1B" w:rsidRDefault="004E0A1B" w:rsidP="00046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3D4">
        <w:rPr>
          <w:rFonts w:ascii="Times New Roman" w:hAnsi="Times New Roman" w:cs="Times New Roman"/>
          <w:sz w:val="28"/>
          <w:szCs w:val="28"/>
        </w:rPr>
        <w:t>4.</w:t>
      </w:r>
      <w:r w:rsidR="00DA4BA2">
        <w:rPr>
          <w:rFonts w:ascii="Times New Roman" w:hAnsi="Times New Roman" w:cs="Times New Roman"/>
          <w:sz w:val="28"/>
          <w:szCs w:val="28"/>
        </w:rPr>
        <w:t>5</w:t>
      </w:r>
      <w:r w:rsidRPr="003723D4">
        <w:rPr>
          <w:rFonts w:ascii="Times New Roman" w:hAnsi="Times New Roman" w:cs="Times New Roman"/>
          <w:sz w:val="28"/>
          <w:szCs w:val="28"/>
        </w:rPr>
        <w:t xml:space="preserve">. Результаты мониторинга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723D4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муниципального образования городской округ город Сургут на среднесрочный или долгосрочный период </w:t>
      </w:r>
      <w:r w:rsidR="00E234EB" w:rsidRPr="003723D4">
        <w:rPr>
          <w:rFonts w:ascii="Times New Roman" w:hAnsi="Times New Roman" w:cs="Times New Roman"/>
          <w:sz w:val="28"/>
          <w:szCs w:val="28"/>
        </w:rPr>
        <w:t xml:space="preserve">по итогам года </w:t>
      </w:r>
      <w:r w:rsidRPr="003723D4">
        <w:rPr>
          <w:rFonts w:ascii="Times New Roman" w:hAnsi="Times New Roman" w:cs="Times New Roman"/>
          <w:sz w:val="28"/>
          <w:szCs w:val="28"/>
        </w:rPr>
        <w:t xml:space="preserve">отражаются в </w:t>
      </w:r>
      <w:r w:rsidR="00DC005C" w:rsidRPr="003723D4">
        <w:rPr>
          <w:rFonts w:ascii="Times New Roman" w:hAnsi="Times New Roman" w:cs="Times New Roman"/>
          <w:sz w:val="28"/>
          <w:szCs w:val="28"/>
        </w:rPr>
        <w:t>ежегодных отчетах Главы города о результатах его деятельности и деятельности Администрации города, в том числе о решении вопросов, поставленных Думой города</w:t>
      </w:r>
      <w:r w:rsidR="003723D4" w:rsidRPr="003723D4">
        <w:rPr>
          <w:rFonts w:ascii="Times New Roman" w:hAnsi="Times New Roman" w:cs="Times New Roman"/>
          <w:sz w:val="28"/>
          <w:szCs w:val="28"/>
        </w:rPr>
        <w:t>.</w:t>
      </w:r>
    </w:p>
    <w:p w:rsidR="00265525" w:rsidRPr="00E234EB" w:rsidRDefault="00265525" w:rsidP="00265525">
      <w:pPr>
        <w:rPr>
          <w:rFonts w:ascii="Times New Roman" w:hAnsi="Times New Roman" w:cs="Times New Roman"/>
          <w:sz w:val="28"/>
          <w:szCs w:val="28"/>
        </w:rPr>
      </w:pPr>
    </w:p>
    <w:p w:rsidR="00E35410" w:rsidRPr="008C1E05" w:rsidRDefault="00265525" w:rsidP="002655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5. Мониторинг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1E05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A92F5D" w:rsidRPr="008C1E05" w:rsidRDefault="00A92F5D" w:rsidP="007A29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08B" w:rsidRPr="002D408B" w:rsidRDefault="002D408B" w:rsidP="002D4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8B">
        <w:rPr>
          <w:rFonts w:ascii="Times New Roman" w:hAnsi="Times New Roman" w:cs="Times New Roman"/>
          <w:sz w:val="28"/>
          <w:szCs w:val="28"/>
        </w:rPr>
        <w:t>5.1. Мониторинг</w:t>
      </w:r>
      <w:r w:rsidR="00DA4BA2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2D408B">
        <w:rPr>
          <w:rFonts w:ascii="Times New Roman" w:hAnsi="Times New Roman" w:cs="Times New Roman"/>
          <w:sz w:val="28"/>
          <w:szCs w:val="28"/>
        </w:rPr>
        <w:t xml:space="preserve"> муниципальных программ осуществляется администраторами муниципальных программ в соответствии с муниципальным правовым актом об утверждении порядка принятия решений о разработке, формирования и реализации муниципальных программ городского округа город Сургут.</w:t>
      </w:r>
    </w:p>
    <w:p w:rsidR="002D408B" w:rsidRPr="002D408B" w:rsidRDefault="002D408B" w:rsidP="002D4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8B">
        <w:rPr>
          <w:rFonts w:ascii="Times New Roman" w:hAnsi="Times New Roman" w:cs="Times New Roman"/>
          <w:sz w:val="28"/>
          <w:szCs w:val="28"/>
        </w:rPr>
        <w:t>5.2. В соответствии с муниципальным правовым актом об утверждении порядка проведения оценки эффективности реализации муниципальных программ департамент по экономической политике в установленные сроки:</w:t>
      </w:r>
    </w:p>
    <w:p w:rsidR="002D408B" w:rsidRPr="002D408B" w:rsidRDefault="002D408B" w:rsidP="002D4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8B">
        <w:rPr>
          <w:rFonts w:ascii="Times New Roman" w:hAnsi="Times New Roman" w:cs="Times New Roman"/>
          <w:sz w:val="28"/>
          <w:szCs w:val="28"/>
        </w:rPr>
        <w:t xml:space="preserve">5.2.1. Проводит оценку эффективности реализации муниципальных программ на основе годового отчета об исполнении муниципальной программы, представленного администратором. </w:t>
      </w:r>
    </w:p>
    <w:p w:rsidR="002D408B" w:rsidRDefault="002D408B" w:rsidP="002D40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408B">
        <w:rPr>
          <w:rFonts w:ascii="Times New Roman" w:hAnsi="Times New Roman" w:cs="Times New Roman"/>
          <w:sz w:val="28"/>
          <w:szCs w:val="28"/>
        </w:rPr>
        <w:t xml:space="preserve">5.2.2. Готовит проект сводного годового </w:t>
      </w:r>
      <w:r w:rsidRPr="002D408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доклада о ходе реализации и об оценке эффективности реализации муниципальных программ.</w:t>
      </w:r>
    </w:p>
    <w:p w:rsidR="009A47FD" w:rsidRDefault="009A47FD" w:rsidP="00A77537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34EB" w:rsidRPr="00F423C9" w:rsidRDefault="00F423C9" w:rsidP="00F423C9">
      <w:pPr>
        <w:pStyle w:val="a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6. </w:t>
      </w:r>
      <w:r w:rsidR="00E234EB" w:rsidRPr="00F423C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Заключительные положения</w:t>
      </w:r>
    </w:p>
    <w:p w:rsidR="00E234EB" w:rsidRPr="00F423C9" w:rsidRDefault="00E234EB" w:rsidP="00A77537">
      <w:pPr>
        <w:pStyle w:val="a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234EB" w:rsidRPr="00A77537" w:rsidRDefault="00A77537" w:rsidP="00A77537">
      <w:pPr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F423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6.1. </w:t>
      </w:r>
      <w:r w:rsidR="00E234EB" w:rsidRPr="00F423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Документы, </w:t>
      </w:r>
      <w:r w:rsidR="00E234EB"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отражаются результаты мониторинга реализации документов стратегического планирования муниципального образования городской округ город Сургут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на официально</w:t>
      </w:r>
      <w:r w:rsidR="008A4E50"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сайте Администрации </w:t>
      </w:r>
      <w:proofErr w:type="gramStart"/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 </w:t>
      </w:r>
      <w:hyperlink r:id="rId6" w:history="1">
        <w:r w:rsidRPr="00F423C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http://www.admsurgut.ru</w:t>
        </w:r>
        <w:proofErr w:type="gramEnd"/>
      </w:hyperlink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общедоступно</w:t>
      </w:r>
      <w:r w:rsidR="00037F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 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F423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usirf</w:t>
      </w:r>
      <w:proofErr w:type="spellEnd"/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F42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325D" w:rsidRPr="008C1E05" w:rsidRDefault="00B00B80" w:rsidP="00A77537">
      <w:pPr>
        <w:ind w:left="77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25D" w:rsidRPr="008C1E05" w:rsidRDefault="00DD325D" w:rsidP="00A77537">
      <w:pPr>
        <w:rPr>
          <w:rFonts w:ascii="Times New Roman" w:hAnsi="Times New Roman" w:cs="Times New Roman"/>
          <w:sz w:val="28"/>
          <w:szCs w:val="28"/>
        </w:rPr>
      </w:pPr>
    </w:p>
    <w:p w:rsidR="00DD325D" w:rsidRPr="008C1E05" w:rsidRDefault="00DD325D" w:rsidP="008D1160">
      <w:pPr>
        <w:ind w:left="7797"/>
        <w:rPr>
          <w:rFonts w:ascii="Times New Roman" w:hAnsi="Times New Roman" w:cs="Times New Roman"/>
          <w:sz w:val="28"/>
          <w:szCs w:val="28"/>
        </w:rPr>
        <w:sectPr w:rsidR="00DD325D" w:rsidRPr="008C1E05" w:rsidSect="009430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A47FD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1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реализации</w:t>
      </w:r>
      <w:r w:rsidR="00827DE3"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документов стратегического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планирования и подготовки документов,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в которых отражаются результаты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мониторинга реализации документов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827DE3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A47FD" w:rsidRDefault="009A47FD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827DE3" w:rsidRPr="008C1E05" w:rsidRDefault="00827DE3" w:rsidP="009A47FD">
      <w:pPr>
        <w:rPr>
          <w:rFonts w:ascii="Times New Roman" w:hAnsi="Times New Roman" w:cs="Times New Roman"/>
          <w:sz w:val="28"/>
          <w:szCs w:val="28"/>
        </w:rPr>
      </w:pPr>
    </w:p>
    <w:p w:rsidR="008D1160" w:rsidRPr="008C1E05" w:rsidRDefault="002742B1" w:rsidP="00274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Анализ достижения значений частных показателей достижения целей Стратегии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1276"/>
        <w:gridCol w:w="1276"/>
        <w:gridCol w:w="1701"/>
        <w:gridCol w:w="1549"/>
        <w:gridCol w:w="3412"/>
      </w:tblGrid>
      <w:tr w:rsidR="008C1E05" w:rsidRPr="008C1E05" w:rsidTr="00101A7D">
        <w:tc>
          <w:tcPr>
            <w:tcW w:w="817" w:type="dxa"/>
            <w:vAlign w:val="center"/>
          </w:tcPr>
          <w:p w:rsidR="00951C90" w:rsidRPr="008C1E05" w:rsidRDefault="00951C9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951C90" w:rsidRPr="008C1E05" w:rsidRDefault="002742B1" w:rsidP="002742B1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Частные показатели</w:t>
            </w:r>
          </w:p>
        </w:tc>
        <w:tc>
          <w:tcPr>
            <w:tcW w:w="992" w:type="dxa"/>
            <w:vAlign w:val="center"/>
          </w:tcPr>
          <w:p w:rsidR="001B3755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Ф</w:t>
            </w:r>
            <w:r w:rsidR="001B3755" w:rsidRPr="008C1E05">
              <w:rPr>
                <w:rFonts w:ascii="Times New Roman" w:hAnsi="Times New Roman" w:cs="Times New Roman"/>
              </w:rPr>
              <w:t>акт</w:t>
            </w:r>
          </w:p>
          <w:p w:rsidR="00951C90" w:rsidRPr="008C1E05" w:rsidRDefault="00951C90" w:rsidP="00951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  <w:lang w:val="en-US"/>
              </w:rPr>
              <w:t>n-2</w:t>
            </w:r>
          </w:p>
        </w:tc>
        <w:tc>
          <w:tcPr>
            <w:tcW w:w="992" w:type="dxa"/>
            <w:vAlign w:val="center"/>
          </w:tcPr>
          <w:p w:rsidR="001B3755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Ф</w:t>
            </w:r>
            <w:r w:rsidR="00951C90" w:rsidRPr="008C1E05">
              <w:rPr>
                <w:rFonts w:ascii="Times New Roman" w:hAnsi="Times New Roman" w:cs="Times New Roman"/>
              </w:rPr>
              <w:t xml:space="preserve">акт </w:t>
            </w:r>
          </w:p>
          <w:p w:rsidR="00951C90" w:rsidRPr="008C1E05" w:rsidRDefault="00951C90" w:rsidP="00951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  <w:lang w:val="en-US"/>
              </w:rPr>
              <w:t>n-1</w:t>
            </w:r>
          </w:p>
        </w:tc>
        <w:tc>
          <w:tcPr>
            <w:tcW w:w="1276" w:type="dxa"/>
            <w:vAlign w:val="center"/>
          </w:tcPr>
          <w:p w:rsidR="00951C90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</w:t>
            </w:r>
            <w:r w:rsidR="00951C90" w:rsidRPr="008C1E05">
              <w:rPr>
                <w:rFonts w:ascii="Times New Roman" w:hAnsi="Times New Roman" w:cs="Times New Roman"/>
              </w:rPr>
              <w:t>лан</w:t>
            </w:r>
          </w:p>
          <w:p w:rsidR="00951C90" w:rsidRPr="008C1E05" w:rsidRDefault="00951C90" w:rsidP="00951C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</w:rPr>
              <w:t>отчетный год (</w:t>
            </w:r>
            <w:r w:rsidRPr="008C1E0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276" w:type="dxa"/>
            <w:vAlign w:val="center"/>
          </w:tcPr>
          <w:p w:rsidR="00951C90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Ф</w:t>
            </w:r>
            <w:r w:rsidR="00951C90" w:rsidRPr="008C1E05">
              <w:rPr>
                <w:rFonts w:ascii="Times New Roman" w:hAnsi="Times New Roman" w:cs="Times New Roman"/>
              </w:rPr>
              <w:t>акт отчетный год (</w:t>
            </w:r>
            <w:r w:rsidR="00951C90" w:rsidRPr="008C1E0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701" w:type="dxa"/>
            <w:vAlign w:val="center"/>
          </w:tcPr>
          <w:p w:rsidR="00951C90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О</w:t>
            </w:r>
            <w:r w:rsidR="00951C90" w:rsidRPr="008C1E05">
              <w:rPr>
                <w:rFonts w:ascii="Times New Roman" w:hAnsi="Times New Roman" w:cs="Times New Roman"/>
              </w:rPr>
              <w:t>тклонение, %</w:t>
            </w:r>
          </w:p>
        </w:tc>
        <w:tc>
          <w:tcPr>
            <w:tcW w:w="1549" w:type="dxa"/>
            <w:vAlign w:val="center"/>
          </w:tcPr>
          <w:p w:rsidR="002742B1" w:rsidRPr="008C1E05" w:rsidRDefault="005930E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</w:t>
            </w:r>
            <w:r w:rsidR="00951C90" w:rsidRPr="008C1E05">
              <w:rPr>
                <w:rFonts w:ascii="Times New Roman" w:hAnsi="Times New Roman" w:cs="Times New Roman"/>
              </w:rPr>
              <w:t xml:space="preserve">лан </w:t>
            </w:r>
          </w:p>
          <w:p w:rsidR="00101A7D" w:rsidRPr="008C1E05" w:rsidRDefault="00951C90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2030 год</w:t>
            </w:r>
            <w:r w:rsidR="002742B1" w:rsidRPr="008C1E05">
              <w:rPr>
                <w:rFonts w:ascii="Times New Roman" w:hAnsi="Times New Roman" w:cs="Times New Roman"/>
              </w:rPr>
              <w:t xml:space="preserve"> </w:t>
            </w:r>
          </w:p>
          <w:p w:rsidR="00951C90" w:rsidRPr="008C1E05" w:rsidRDefault="003B383C" w:rsidP="00951C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состоянию на 31.12.202</w:t>
            </w:r>
            <w:r w:rsidR="002742B1" w:rsidRPr="008C1E05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3412" w:type="dxa"/>
            <w:vAlign w:val="center"/>
          </w:tcPr>
          <w:p w:rsidR="00951C90" w:rsidRPr="008C1E05" w:rsidRDefault="002742B1" w:rsidP="00951C90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8C1E05" w:rsidRPr="008C1E05" w:rsidTr="00101A7D">
        <w:tc>
          <w:tcPr>
            <w:tcW w:w="817" w:type="dxa"/>
          </w:tcPr>
          <w:p w:rsidR="00951C90" w:rsidRPr="008C1E05" w:rsidRDefault="004666F1" w:rsidP="001B3E40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</w:t>
            </w:r>
            <w:r w:rsidR="006247D3" w:rsidRPr="008C1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5" w:rsidRPr="008C1E05" w:rsidTr="00101A7D">
        <w:tc>
          <w:tcPr>
            <w:tcW w:w="817" w:type="dxa"/>
          </w:tcPr>
          <w:p w:rsidR="00951C90" w:rsidRPr="008C1E05" w:rsidRDefault="004666F1" w:rsidP="001B3E40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1C90" w:rsidRPr="008C1E05" w:rsidTr="00101A7D">
        <w:tc>
          <w:tcPr>
            <w:tcW w:w="817" w:type="dxa"/>
          </w:tcPr>
          <w:p w:rsidR="00951C90" w:rsidRPr="008C1E05" w:rsidRDefault="004666F1" w:rsidP="001B3E40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951C90" w:rsidRPr="008C1E05" w:rsidRDefault="00951C90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E40" w:rsidRPr="008C1E05" w:rsidRDefault="001B3E40" w:rsidP="001B3E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742B1">
      <w:pPr>
        <w:ind w:left="12474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1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документов стратегического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планирования и подготовки документов,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в которых отражаются результаты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мониторинга реализации документов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827DE3" w:rsidRDefault="00827DE3" w:rsidP="00827DE3">
      <w:pPr>
        <w:rPr>
          <w:rFonts w:ascii="Times New Roman" w:hAnsi="Times New Roman" w:cs="Times New Roman"/>
          <w:sz w:val="28"/>
          <w:szCs w:val="28"/>
        </w:rPr>
      </w:pPr>
    </w:p>
    <w:p w:rsidR="002742B1" w:rsidRPr="008C1E05" w:rsidRDefault="002742B1" w:rsidP="002742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Анализ достижения значений интегральных </w:t>
      </w:r>
      <w:r w:rsidR="00C81D6D">
        <w:rPr>
          <w:rFonts w:ascii="Times New Roman" w:hAnsi="Times New Roman" w:cs="Times New Roman"/>
          <w:sz w:val="28"/>
          <w:szCs w:val="28"/>
        </w:rPr>
        <w:t>индексов</w:t>
      </w:r>
      <w:r w:rsidRPr="008C1E05">
        <w:rPr>
          <w:rFonts w:ascii="Times New Roman" w:hAnsi="Times New Roman" w:cs="Times New Roman"/>
          <w:sz w:val="28"/>
          <w:szCs w:val="28"/>
        </w:rPr>
        <w:t xml:space="preserve"> достижения целей Стратегии</w:t>
      </w:r>
    </w:p>
    <w:tbl>
      <w:tblPr>
        <w:tblStyle w:val="a8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992"/>
        <w:gridCol w:w="1276"/>
        <w:gridCol w:w="1417"/>
        <w:gridCol w:w="1701"/>
        <w:gridCol w:w="1549"/>
        <w:gridCol w:w="3412"/>
      </w:tblGrid>
      <w:tr w:rsidR="008C1E05" w:rsidRPr="008C1E05" w:rsidTr="00681FF4">
        <w:tc>
          <w:tcPr>
            <w:tcW w:w="817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Align w:val="center"/>
          </w:tcPr>
          <w:p w:rsidR="002742B1" w:rsidRPr="008C1E05" w:rsidRDefault="002742B1" w:rsidP="00C81D6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 xml:space="preserve">Интегральные </w:t>
            </w:r>
            <w:r w:rsidR="00C81D6D">
              <w:rPr>
                <w:rFonts w:ascii="Times New Roman" w:hAnsi="Times New Roman" w:cs="Times New Roman"/>
              </w:rPr>
              <w:t>индексы</w:t>
            </w:r>
          </w:p>
        </w:tc>
        <w:tc>
          <w:tcPr>
            <w:tcW w:w="992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Факт</w:t>
            </w:r>
          </w:p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  <w:lang w:val="en-US"/>
              </w:rPr>
              <w:t>n-2</w:t>
            </w:r>
          </w:p>
        </w:tc>
        <w:tc>
          <w:tcPr>
            <w:tcW w:w="992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 xml:space="preserve">Факт </w:t>
            </w:r>
          </w:p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  <w:lang w:val="en-US"/>
              </w:rPr>
              <w:t>n-1</w:t>
            </w:r>
          </w:p>
        </w:tc>
        <w:tc>
          <w:tcPr>
            <w:tcW w:w="1276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План</w:t>
            </w:r>
          </w:p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1E05">
              <w:rPr>
                <w:rFonts w:ascii="Times New Roman" w:hAnsi="Times New Roman" w:cs="Times New Roman"/>
              </w:rPr>
              <w:t>отчетный год (</w:t>
            </w:r>
            <w:r w:rsidRPr="008C1E0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417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Факт отчетный год (</w:t>
            </w:r>
            <w:r w:rsidRPr="008C1E05">
              <w:rPr>
                <w:rFonts w:ascii="Times New Roman" w:hAnsi="Times New Roman" w:cs="Times New Roman"/>
                <w:lang w:val="en-US"/>
              </w:rPr>
              <w:t>n)</w:t>
            </w:r>
          </w:p>
        </w:tc>
        <w:tc>
          <w:tcPr>
            <w:tcW w:w="1701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Отклонение, %</w:t>
            </w:r>
          </w:p>
        </w:tc>
        <w:tc>
          <w:tcPr>
            <w:tcW w:w="1549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 xml:space="preserve">План </w:t>
            </w:r>
          </w:p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2030 год</w:t>
            </w:r>
          </w:p>
          <w:p w:rsidR="002742B1" w:rsidRPr="008C1E05" w:rsidRDefault="003B383C" w:rsidP="000A1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состоянию на 31.12.202</w:t>
            </w:r>
            <w:r w:rsidR="002742B1" w:rsidRPr="008C1E05">
              <w:rPr>
                <w:rFonts w:ascii="Times New Roman" w:hAnsi="Times New Roman" w:cs="Times New Roman"/>
                <w:sz w:val="20"/>
                <w:szCs w:val="20"/>
              </w:rPr>
              <w:t>9)</w:t>
            </w:r>
          </w:p>
        </w:tc>
        <w:tc>
          <w:tcPr>
            <w:tcW w:w="3412" w:type="dxa"/>
            <w:vAlign w:val="center"/>
          </w:tcPr>
          <w:p w:rsidR="002742B1" w:rsidRPr="008C1E05" w:rsidRDefault="002742B1" w:rsidP="000A1DAE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8C1E05" w:rsidRPr="008C1E05" w:rsidTr="00681FF4">
        <w:tc>
          <w:tcPr>
            <w:tcW w:w="8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</w:t>
            </w:r>
            <w:r w:rsidR="006247D3" w:rsidRPr="008C1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5" w:rsidRPr="008C1E05" w:rsidTr="00681FF4">
        <w:tc>
          <w:tcPr>
            <w:tcW w:w="8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1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B1" w:rsidRPr="008C1E05" w:rsidTr="00681FF4">
        <w:tc>
          <w:tcPr>
            <w:tcW w:w="8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11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2742B1" w:rsidRPr="008C1E05" w:rsidRDefault="002742B1" w:rsidP="000A1D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1160" w:rsidRPr="008C1E05" w:rsidRDefault="008D1160" w:rsidP="008D1160">
      <w:pPr>
        <w:ind w:left="7797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C1E05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C1E05">
        <w:rPr>
          <w:rFonts w:ascii="Times New Roman" w:hAnsi="Times New Roman" w:cs="Times New Roman"/>
          <w:sz w:val="28"/>
          <w:szCs w:val="28"/>
        </w:rPr>
        <w:t xml:space="preserve">осуществления мониторинга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E05">
        <w:rPr>
          <w:rFonts w:ascii="Times New Roman" w:hAnsi="Times New Roman" w:cs="Times New Roman"/>
          <w:sz w:val="28"/>
          <w:szCs w:val="28"/>
        </w:rPr>
        <w:t>документов стратегического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планирования и подготовки документов,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в которых отражаются результаты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мониторинга реализации документов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27DE3" w:rsidRDefault="00827DE3" w:rsidP="00827DE3">
      <w:pPr>
        <w:ind w:left="9639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827DE3" w:rsidRDefault="00827DE3" w:rsidP="00827DE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265525" w:rsidRPr="008C1E05" w:rsidRDefault="00265525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DA4BA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C1E05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Стратегии </w:t>
      </w:r>
    </w:p>
    <w:p w:rsidR="008D1160" w:rsidRPr="008C1E05" w:rsidRDefault="00265525" w:rsidP="00265525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C1E0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город Сургут</w:t>
      </w: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2551"/>
        <w:gridCol w:w="1843"/>
        <w:gridCol w:w="1276"/>
        <w:gridCol w:w="1134"/>
        <w:gridCol w:w="850"/>
        <w:gridCol w:w="1126"/>
        <w:gridCol w:w="1993"/>
      </w:tblGrid>
      <w:tr w:rsidR="008C1E05" w:rsidRPr="008C1E05" w:rsidTr="006247D3">
        <w:tc>
          <w:tcPr>
            <w:tcW w:w="817" w:type="dxa"/>
            <w:vMerge w:val="restart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Наименование проекта (</w:t>
            </w:r>
            <w:r w:rsidR="00151CC7" w:rsidRPr="008C1E05">
              <w:rPr>
                <w:rFonts w:ascii="Times New Roman" w:hAnsi="Times New Roman" w:cs="Times New Roman"/>
              </w:rPr>
              <w:t xml:space="preserve">инвестиционного проекта, </w:t>
            </w:r>
            <w:r w:rsidRPr="008C1E05">
              <w:rPr>
                <w:rFonts w:ascii="Times New Roman" w:hAnsi="Times New Roman" w:cs="Times New Roman"/>
              </w:rPr>
              <w:t>мероприятия, объекта)</w:t>
            </w:r>
          </w:p>
        </w:tc>
        <w:tc>
          <w:tcPr>
            <w:tcW w:w="1418" w:type="dxa"/>
            <w:vMerge w:val="restart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Стоимость</w:t>
            </w:r>
            <w:r w:rsidRPr="008C1E0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1E05">
              <w:rPr>
                <w:rFonts w:ascii="Times New Roman" w:hAnsi="Times New Roman" w:cs="Times New Roman"/>
              </w:rPr>
              <w:t>всего, тыс.руб.</w:t>
            </w:r>
          </w:p>
        </w:tc>
        <w:tc>
          <w:tcPr>
            <w:tcW w:w="2551" w:type="dxa"/>
            <w:vMerge w:val="restart"/>
          </w:tcPr>
          <w:p w:rsidR="00C7147B" w:rsidRPr="008C1E05" w:rsidRDefault="00C7147B" w:rsidP="00151CC7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Сроки реализации проекта (</w:t>
            </w:r>
            <w:r w:rsidR="00151CC7" w:rsidRPr="008C1E05">
              <w:rPr>
                <w:rFonts w:ascii="Times New Roman" w:hAnsi="Times New Roman" w:cs="Times New Roman"/>
              </w:rPr>
              <w:t>инвестиционного проекта, мероприятия</w:t>
            </w:r>
            <w:r w:rsidRPr="008C1E05">
              <w:rPr>
                <w:rFonts w:ascii="Times New Roman" w:hAnsi="Times New Roman" w:cs="Times New Roman"/>
              </w:rPr>
              <w:t>) в соответствии с утверждённым планом мероприятий по реализации Стратегии</w:t>
            </w:r>
          </w:p>
        </w:tc>
        <w:tc>
          <w:tcPr>
            <w:tcW w:w="1843" w:type="dxa"/>
            <w:vMerge w:val="restart"/>
          </w:tcPr>
          <w:p w:rsidR="00C7147B" w:rsidRPr="008C1E05" w:rsidRDefault="00151CC7" w:rsidP="00151CC7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 xml:space="preserve">Фактические сроки реализации </w:t>
            </w:r>
            <w:r w:rsidR="00C7147B" w:rsidRPr="008C1E05">
              <w:rPr>
                <w:rFonts w:ascii="Times New Roman" w:hAnsi="Times New Roman" w:cs="Times New Roman"/>
              </w:rPr>
              <w:t>проекта (</w:t>
            </w:r>
            <w:r w:rsidRPr="008C1E05">
              <w:rPr>
                <w:rFonts w:ascii="Times New Roman" w:hAnsi="Times New Roman" w:cs="Times New Roman"/>
              </w:rPr>
              <w:t>инвестиционного проекта, мероприятия</w:t>
            </w:r>
            <w:r w:rsidR="00C7147B" w:rsidRPr="008C1E0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1E05">
              <w:rPr>
                <w:rFonts w:ascii="Times New Roman" w:hAnsi="Times New Roman" w:cs="Times New Roman"/>
              </w:rPr>
              <w:t>Финанси-рование</w:t>
            </w:r>
            <w:proofErr w:type="spellEnd"/>
            <w:proofErr w:type="gramEnd"/>
            <w:r w:rsidRPr="008C1E05">
              <w:rPr>
                <w:rFonts w:ascii="Times New Roman" w:hAnsi="Times New Roman" w:cs="Times New Roman"/>
              </w:rPr>
              <w:t xml:space="preserve"> отчетного </w:t>
            </w:r>
          </w:p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года (</w:t>
            </w:r>
            <w:r w:rsidRPr="008C1E05">
              <w:rPr>
                <w:rFonts w:ascii="Times New Roman" w:hAnsi="Times New Roman" w:cs="Times New Roman"/>
                <w:lang w:val="en-US"/>
              </w:rPr>
              <w:t>n</w:t>
            </w:r>
            <w:r w:rsidRPr="008C1E05">
              <w:rPr>
                <w:rFonts w:ascii="Times New Roman" w:hAnsi="Times New Roman" w:cs="Times New Roman"/>
              </w:rPr>
              <w:t>), тыс.руб.</w:t>
            </w:r>
          </w:p>
        </w:tc>
        <w:tc>
          <w:tcPr>
            <w:tcW w:w="3110" w:type="dxa"/>
            <w:gridSpan w:val="3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93" w:type="dxa"/>
            <w:vMerge w:val="restart"/>
            <w:vAlign w:val="center"/>
          </w:tcPr>
          <w:p w:rsidR="00C7147B" w:rsidRPr="008C1E05" w:rsidRDefault="00C7147B" w:rsidP="00DD325D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Информация об исполнении</w:t>
            </w:r>
          </w:p>
        </w:tc>
      </w:tr>
      <w:tr w:rsidR="008C1E05" w:rsidRPr="008C1E05" w:rsidTr="006247D3">
        <w:tc>
          <w:tcPr>
            <w:tcW w:w="817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7147B" w:rsidRPr="008C1E05" w:rsidRDefault="00C7147B" w:rsidP="001B3755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126" w:type="dxa"/>
            <w:vMerge w:val="restart"/>
            <w:vAlign w:val="center"/>
          </w:tcPr>
          <w:p w:rsidR="00C7147B" w:rsidRPr="008C1E05" w:rsidRDefault="00C7147B" w:rsidP="00C71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C1E05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</w:p>
        </w:tc>
        <w:tc>
          <w:tcPr>
            <w:tcW w:w="1993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5" w:rsidRPr="008C1E05" w:rsidTr="006247D3">
        <w:tc>
          <w:tcPr>
            <w:tcW w:w="817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147B" w:rsidRPr="008C1E05" w:rsidRDefault="00C7147B" w:rsidP="001B3755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Align w:val="center"/>
          </w:tcPr>
          <w:p w:rsidR="00C7147B" w:rsidRPr="008C1E05" w:rsidRDefault="00C7147B" w:rsidP="001B3755">
            <w:pPr>
              <w:jc w:val="center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округ</w:t>
            </w:r>
          </w:p>
        </w:tc>
        <w:tc>
          <w:tcPr>
            <w:tcW w:w="1126" w:type="dxa"/>
            <w:vMerge/>
            <w:vAlign w:val="center"/>
          </w:tcPr>
          <w:p w:rsidR="00C7147B" w:rsidRPr="008C1E05" w:rsidRDefault="00C7147B" w:rsidP="001B3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</w:tcPr>
          <w:p w:rsidR="00C7147B" w:rsidRPr="008C1E05" w:rsidRDefault="00C7147B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5" w:rsidRPr="008C1E05" w:rsidTr="006247D3">
        <w:tc>
          <w:tcPr>
            <w:tcW w:w="817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Направление «…»</w:t>
            </w:r>
          </w:p>
        </w:tc>
        <w:tc>
          <w:tcPr>
            <w:tcW w:w="1418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247D3" w:rsidRPr="008C1E05" w:rsidRDefault="006247D3" w:rsidP="001B3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247D3" w:rsidRPr="008C1E05" w:rsidRDefault="006247D3" w:rsidP="001B3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6247D3" w:rsidRPr="008C1E05" w:rsidRDefault="006247D3" w:rsidP="001B37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1E05" w:rsidRPr="008C1E05" w:rsidTr="006247D3">
        <w:tc>
          <w:tcPr>
            <w:tcW w:w="817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По вектору «…»</w:t>
            </w:r>
          </w:p>
        </w:tc>
        <w:tc>
          <w:tcPr>
            <w:tcW w:w="1418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47D3" w:rsidRPr="008C1E05" w:rsidTr="006247D3">
        <w:tc>
          <w:tcPr>
            <w:tcW w:w="817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  <w:r w:rsidRPr="008C1E0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</w:tcPr>
          <w:p w:rsidR="006247D3" w:rsidRPr="008C1E05" w:rsidRDefault="006247D3" w:rsidP="000429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</w:tcPr>
          <w:p w:rsidR="006247D3" w:rsidRPr="008C1E05" w:rsidRDefault="006247D3" w:rsidP="001B3E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1160" w:rsidRPr="008C1E05" w:rsidRDefault="008D1160" w:rsidP="001B3E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1160" w:rsidRPr="008C1E05" w:rsidSect="006247D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EF7"/>
    <w:multiLevelType w:val="hybridMultilevel"/>
    <w:tmpl w:val="E09E8AAE"/>
    <w:lvl w:ilvl="0" w:tplc="F2CA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6621"/>
    <w:multiLevelType w:val="multilevel"/>
    <w:tmpl w:val="E410FA66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26A55A0"/>
    <w:multiLevelType w:val="hybridMultilevel"/>
    <w:tmpl w:val="B6902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309AF"/>
    <w:multiLevelType w:val="multilevel"/>
    <w:tmpl w:val="DFCC3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6F923B4"/>
    <w:multiLevelType w:val="hybridMultilevel"/>
    <w:tmpl w:val="C6E62286"/>
    <w:lvl w:ilvl="0" w:tplc="6658A3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8DF0B3E"/>
    <w:multiLevelType w:val="multilevel"/>
    <w:tmpl w:val="DC00A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0F0587B"/>
    <w:multiLevelType w:val="multilevel"/>
    <w:tmpl w:val="6F36D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5306551E"/>
    <w:multiLevelType w:val="multilevel"/>
    <w:tmpl w:val="604CA4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57B463ED"/>
    <w:multiLevelType w:val="multilevel"/>
    <w:tmpl w:val="39421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9">
    <w:nsid w:val="57CE419F"/>
    <w:multiLevelType w:val="hybridMultilevel"/>
    <w:tmpl w:val="43C8B7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4FF5D87"/>
    <w:multiLevelType w:val="hybridMultilevel"/>
    <w:tmpl w:val="3546457C"/>
    <w:lvl w:ilvl="0" w:tplc="C5364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3E551E"/>
    <w:multiLevelType w:val="hybridMultilevel"/>
    <w:tmpl w:val="55C6F66E"/>
    <w:lvl w:ilvl="0" w:tplc="BABC412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0B322E"/>
    <w:multiLevelType w:val="hybridMultilevel"/>
    <w:tmpl w:val="464AEF26"/>
    <w:lvl w:ilvl="0" w:tplc="CAA21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12"/>
    <w:rsid w:val="00000616"/>
    <w:rsid w:val="000206AE"/>
    <w:rsid w:val="00020B0C"/>
    <w:rsid w:val="0003670A"/>
    <w:rsid w:val="000372AF"/>
    <w:rsid w:val="000372D2"/>
    <w:rsid w:val="00037F3E"/>
    <w:rsid w:val="00042E35"/>
    <w:rsid w:val="00046F79"/>
    <w:rsid w:val="00053A69"/>
    <w:rsid w:val="00061A8A"/>
    <w:rsid w:val="00062A32"/>
    <w:rsid w:val="00066BEE"/>
    <w:rsid w:val="000A71EE"/>
    <w:rsid w:val="000D09A4"/>
    <w:rsid w:val="000E344E"/>
    <w:rsid w:val="000E350D"/>
    <w:rsid w:val="000E3AA0"/>
    <w:rsid w:val="000F0AEB"/>
    <w:rsid w:val="000F12BD"/>
    <w:rsid w:val="000F7C3D"/>
    <w:rsid w:val="00101A7D"/>
    <w:rsid w:val="00107286"/>
    <w:rsid w:val="001133FD"/>
    <w:rsid w:val="00113CD9"/>
    <w:rsid w:val="0011588B"/>
    <w:rsid w:val="001166AD"/>
    <w:rsid w:val="00124320"/>
    <w:rsid w:val="00144524"/>
    <w:rsid w:val="00145F5B"/>
    <w:rsid w:val="0014742E"/>
    <w:rsid w:val="001512DA"/>
    <w:rsid w:val="00151CC7"/>
    <w:rsid w:val="00155B2D"/>
    <w:rsid w:val="00160845"/>
    <w:rsid w:val="001668BA"/>
    <w:rsid w:val="001770F8"/>
    <w:rsid w:val="001773E3"/>
    <w:rsid w:val="00185CF5"/>
    <w:rsid w:val="001905F1"/>
    <w:rsid w:val="00193C1E"/>
    <w:rsid w:val="001A261B"/>
    <w:rsid w:val="001A3902"/>
    <w:rsid w:val="001A7E44"/>
    <w:rsid w:val="001B3755"/>
    <w:rsid w:val="001B3E40"/>
    <w:rsid w:val="001C25B7"/>
    <w:rsid w:val="001E0E22"/>
    <w:rsid w:val="001E3542"/>
    <w:rsid w:val="001F7D83"/>
    <w:rsid w:val="0020179B"/>
    <w:rsid w:val="00205E71"/>
    <w:rsid w:val="00223411"/>
    <w:rsid w:val="002333CE"/>
    <w:rsid w:val="00235668"/>
    <w:rsid w:val="0023637A"/>
    <w:rsid w:val="002363F1"/>
    <w:rsid w:val="00237276"/>
    <w:rsid w:val="00240D74"/>
    <w:rsid w:val="00242825"/>
    <w:rsid w:val="00242931"/>
    <w:rsid w:val="002460EA"/>
    <w:rsid w:val="00246619"/>
    <w:rsid w:val="0024730B"/>
    <w:rsid w:val="00252A80"/>
    <w:rsid w:val="00261B97"/>
    <w:rsid w:val="002637F2"/>
    <w:rsid w:val="00265525"/>
    <w:rsid w:val="00270352"/>
    <w:rsid w:val="002742B1"/>
    <w:rsid w:val="00275A49"/>
    <w:rsid w:val="0028490D"/>
    <w:rsid w:val="002938B5"/>
    <w:rsid w:val="00294FFC"/>
    <w:rsid w:val="00296BA7"/>
    <w:rsid w:val="002B382E"/>
    <w:rsid w:val="002D408B"/>
    <w:rsid w:val="002F0F18"/>
    <w:rsid w:val="002F61F3"/>
    <w:rsid w:val="0030245C"/>
    <w:rsid w:val="0032202E"/>
    <w:rsid w:val="00327E91"/>
    <w:rsid w:val="00334D5A"/>
    <w:rsid w:val="00346435"/>
    <w:rsid w:val="003540E2"/>
    <w:rsid w:val="00360D44"/>
    <w:rsid w:val="00363FD4"/>
    <w:rsid w:val="003654B9"/>
    <w:rsid w:val="00367EB3"/>
    <w:rsid w:val="00371162"/>
    <w:rsid w:val="00371A26"/>
    <w:rsid w:val="003723D4"/>
    <w:rsid w:val="003908B3"/>
    <w:rsid w:val="003B29BD"/>
    <w:rsid w:val="003B383C"/>
    <w:rsid w:val="003B6259"/>
    <w:rsid w:val="003C6189"/>
    <w:rsid w:val="003E4681"/>
    <w:rsid w:val="003E706B"/>
    <w:rsid w:val="003F26D5"/>
    <w:rsid w:val="003F4426"/>
    <w:rsid w:val="00402585"/>
    <w:rsid w:val="00415B8C"/>
    <w:rsid w:val="00423056"/>
    <w:rsid w:val="00431196"/>
    <w:rsid w:val="00455358"/>
    <w:rsid w:val="004666F1"/>
    <w:rsid w:val="00485647"/>
    <w:rsid w:val="004B42D4"/>
    <w:rsid w:val="004C16D7"/>
    <w:rsid w:val="004C35FD"/>
    <w:rsid w:val="004D154A"/>
    <w:rsid w:val="004D1A05"/>
    <w:rsid w:val="004D4704"/>
    <w:rsid w:val="004D491D"/>
    <w:rsid w:val="004E0A1B"/>
    <w:rsid w:val="004F2608"/>
    <w:rsid w:val="00532E11"/>
    <w:rsid w:val="00534E4D"/>
    <w:rsid w:val="00536128"/>
    <w:rsid w:val="0055198E"/>
    <w:rsid w:val="005675E4"/>
    <w:rsid w:val="00573AA9"/>
    <w:rsid w:val="00582C70"/>
    <w:rsid w:val="00586EF0"/>
    <w:rsid w:val="005930E0"/>
    <w:rsid w:val="005A4797"/>
    <w:rsid w:val="005A6196"/>
    <w:rsid w:val="005A61A7"/>
    <w:rsid w:val="005C59D5"/>
    <w:rsid w:val="005F1F85"/>
    <w:rsid w:val="005F678C"/>
    <w:rsid w:val="0060022A"/>
    <w:rsid w:val="0060070C"/>
    <w:rsid w:val="00603F20"/>
    <w:rsid w:val="00606240"/>
    <w:rsid w:val="0062149B"/>
    <w:rsid w:val="006247D3"/>
    <w:rsid w:val="006431B8"/>
    <w:rsid w:val="00654CD0"/>
    <w:rsid w:val="00661CE4"/>
    <w:rsid w:val="00681FF4"/>
    <w:rsid w:val="00686C8C"/>
    <w:rsid w:val="006A5306"/>
    <w:rsid w:val="006B728D"/>
    <w:rsid w:val="006C3D70"/>
    <w:rsid w:val="00742D12"/>
    <w:rsid w:val="00744E58"/>
    <w:rsid w:val="00764321"/>
    <w:rsid w:val="007760FD"/>
    <w:rsid w:val="00776F6F"/>
    <w:rsid w:val="00787538"/>
    <w:rsid w:val="007919CE"/>
    <w:rsid w:val="00797E66"/>
    <w:rsid w:val="007A2980"/>
    <w:rsid w:val="007B3327"/>
    <w:rsid w:val="007C1059"/>
    <w:rsid w:val="007C3584"/>
    <w:rsid w:val="007C4690"/>
    <w:rsid w:val="007E15EE"/>
    <w:rsid w:val="007F2F1E"/>
    <w:rsid w:val="00800D64"/>
    <w:rsid w:val="008277C8"/>
    <w:rsid w:val="00827DE3"/>
    <w:rsid w:val="008337E5"/>
    <w:rsid w:val="008724BC"/>
    <w:rsid w:val="00875A19"/>
    <w:rsid w:val="0089695A"/>
    <w:rsid w:val="008A4E50"/>
    <w:rsid w:val="008B5846"/>
    <w:rsid w:val="008B5ACE"/>
    <w:rsid w:val="008B5D3C"/>
    <w:rsid w:val="008C1E05"/>
    <w:rsid w:val="008C799E"/>
    <w:rsid w:val="008D1160"/>
    <w:rsid w:val="008D1A89"/>
    <w:rsid w:val="008D3222"/>
    <w:rsid w:val="008D6B5E"/>
    <w:rsid w:val="008E1691"/>
    <w:rsid w:val="008F00B2"/>
    <w:rsid w:val="008F3856"/>
    <w:rsid w:val="008F58D0"/>
    <w:rsid w:val="00907D2D"/>
    <w:rsid w:val="00911389"/>
    <w:rsid w:val="0091149C"/>
    <w:rsid w:val="00916141"/>
    <w:rsid w:val="00921FAA"/>
    <w:rsid w:val="00934FD2"/>
    <w:rsid w:val="00943030"/>
    <w:rsid w:val="00951C90"/>
    <w:rsid w:val="009531FA"/>
    <w:rsid w:val="009753B7"/>
    <w:rsid w:val="009913EA"/>
    <w:rsid w:val="00992DEC"/>
    <w:rsid w:val="009A47FD"/>
    <w:rsid w:val="009A54F6"/>
    <w:rsid w:val="009C1A82"/>
    <w:rsid w:val="009E39C5"/>
    <w:rsid w:val="00A13AD0"/>
    <w:rsid w:val="00A307C6"/>
    <w:rsid w:val="00A338EC"/>
    <w:rsid w:val="00A43A74"/>
    <w:rsid w:val="00A553AA"/>
    <w:rsid w:val="00A61042"/>
    <w:rsid w:val="00A64761"/>
    <w:rsid w:val="00A77537"/>
    <w:rsid w:val="00A84F75"/>
    <w:rsid w:val="00A92F5D"/>
    <w:rsid w:val="00AA0940"/>
    <w:rsid w:val="00AA5EED"/>
    <w:rsid w:val="00AA6460"/>
    <w:rsid w:val="00AB44C4"/>
    <w:rsid w:val="00AD0AE0"/>
    <w:rsid w:val="00AD1CE6"/>
    <w:rsid w:val="00AE4B8F"/>
    <w:rsid w:val="00AE4F3F"/>
    <w:rsid w:val="00B00B80"/>
    <w:rsid w:val="00B241F2"/>
    <w:rsid w:val="00B309CF"/>
    <w:rsid w:val="00B448AA"/>
    <w:rsid w:val="00B5353F"/>
    <w:rsid w:val="00B94736"/>
    <w:rsid w:val="00BB1F10"/>
    <w:rsid w:val="00BC145B"/>
    <w:rsid w:val="00BC4EF4"/>
    <w:rsid w:val="00BC5091"/>
    <w:rsid w:val="00BC5E3F"/>
    <w:rsid w:val="00BD3D4C"/>
    <w:rsid w:val="00BE1017"/>
    <w:rsid w:val="00C23362"/>
    <w:rsid w:val="00C23979"/>
    <w:rsid w:val="00C36D8A"/>
    <w:rsid w:val="00C531CC"/>
    <w:rsid w:val="00C708CD"/>
    <w:rsid w:val="00C7147B"/>
    <w:rsid w:val="00C74998"/>
    <w:rsid w:val="00C74B4C"/>
    <w:rsid w:val="00C80E8C"/>
    <w:rsid w:val="00C81D6D"/>
    <w:rsid w:val="00C9094D"/>
    <w:rsid w:val="00C959CD"/>
    <w:rsid w:val="00CA5DBF"/>
    <w:rsid w:val="00D03C65"/>
    <w:rsid w:val="00D04637"/>
    <w:rsid w:val="00D051F4"/>
    <w:rsid w:val="00D35D4A"/>
    <w:rsid w:val="00D561C9"/>
    <w:rsid w:val="00DA3FF8"/>
    <w:rsid w:val="00DA4BA2"/>
    <w:rsid w:val="00DA5DA2"/>
    <w:rsid w:val="00DA5DED"/>
    <w:rsid w:val="00DB0527"/>
    <w:rsid w:val="00DB2C2E"/>
    <w:rsid w:val="00DB76FF"/>
    <w:rsid w:val="00DC005C"/>
    <w:rsid w:val="00DC2B61"/>
    <w:rsid w:val="00DD06AB"/>
    <w:rsid w:val="00DD325D"/>
    <w:rsid w:val="00DD7371"/>
    <w:rsid w:val="00DE7F29"/>
    <w:rsid w:val="00DF33E0"/>
    <w:rsid w:val="00E00FF1"/>
    <w:rsid w:val="00E05604"/>
    <w:rsid w:val="00E110E3"/>
    <w:rsid w:val="00E17922"/>
    <w:rsid w:val="00E220C0"/>
    <w:rsid w:val="00E234EB"/>
    <w:rsid w:val="00E26952"/>
    <w:rsid w:val="00E3253D"/>
    <w:rsid w:val="00E35410"/>
    <w:rsid w:val="00E42F91"/>
    <w:rsid w:val="00E47F88"/>
    <w:rsid w:val="00E50ADA"/>
    <w:rsid w:val="00E5152E"/>
    <w:rsid w:val="00E559F9"/>
    <w:rsid w:val="00E6095A"/>
    <w:rsid w:val="00E642C5"/>
    <w:rsid w:val="00E719A2"/>
    <w:rsid w:val="00E727D7"/>
    <w:rsid w:val="00E76352"/>
    <w:rsid w:val="00E85263"/>
    <w:rsid w:val="00E90054"/>
    <w:rsid w:val="00E97CB2"/>
    <w:rsid w:val="00EF3245"/>
    <w:rsid w:val="00F10894"/>
    <w:rsid w:val="00F15A6B"/>
    <w:rsid w:val="00F17225"/>
    <w:rsid w:val="00F17342"/>
    <w:rsid w:val="00F335A9"/>
    <w:rsid w:val="00F35738"/>
    <w:rsid w:val="00F423C9"/>
    <w:rsid w:val="00F5101E"/>
    <w:rsid w:val="00F56C0E"/>
    <w:rsid w:val="00F64608"/>
    <w:rsid w:val="00F65878"/>
    <w:rsid w:val="00F72348"/>
    <w:rsid w:val="00F94E6E"/>
    <w:rsid w:val="00FB0459"/>
    <w:rsid w:val="00FC0F24"/>
    <w:rsid w:val="00FC281C"/>
    <w:rsid w:val="00FC5F58"/>
    <w:rsid w:val="00FD7D35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F522-769C-4ADE-9300-65D688B4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8B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38B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9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02585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154A"/>
    <w:pPr>
      <w:ind w:left="720"/>
      <w:contextualSpacing/>
    </w:pPr>
  </w:style>
  <w:style w:type="table" w:styleId="a8">
    <w:name w:val="Table Grid"/>
    <w:basedOn w:val="a1"/>
    <w:uiPriority w:val="39"/>
    <w:rsid w:val="001B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474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742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742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74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742E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77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FC89D-A83B-4936-BE2B-581E2CFF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Грушина Оксана Егоровна</cp:lastModifiedBy>
  <cp:revision>24</cp:revision>
  <cp:lastPrinted>2015-08-27T08:22:00Z</cp:lastPrinted>
  <dcterms:created xsi:type="dcterms:W3CDTF">2015-07-24T14:07:00Z</dcterms:created>
  <dcterms:modified xsi:type="dcterms:W3CDTF">2015-08-28T06:55:00Z</dcterms:modified>
</cp:coreProperties>
</file>