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2E" w:rsidRDefault="000E2D2E" w:rsidP="0036618F">
      <w:pPr>
        <w:spacing w:after="0" w:line="240" w:lineRule="auto"/>
        <w:ind w:firstLine="709"/>
        <w:jc w:val="both"/>
        <w:rPr>
          <w:b/>
        </w:rPr>
      </w:pPr>
    </w:p>
    <w:p w:rsidR="00562C47" w:rsidRDefault="00562C47" w:rsidP="00562C47">
      <w:pPr>
        <w:spacing w:after="0" w:line="240" w:lineRule="auto"/>
        <w:ind w:firstLine="709"/>
        <w:jc w:val="both"/>
      </w:pPr>
      <w:r w:rsidRPr="000E2D2E">
        <w:rPr>
          <w:b/>
        </w:rPr>
        <w:t xml:space="preserve">Цель Премии: </w:t>
      </w:r>
      <w:r>
        <w:t xml:space="preserve">повышение значимости креативного сектора и популяризация деятельности представителей российских креативных индустрий. </w:t>
      </w:r>
    </w:p>
    <w:p w:rsidR="00562C47" w:rsidRPr="000E2D2E" w:rsidRDefault="00562C47" w:rsidP="00562C47">
      <w:pPr>
        <w:spacing w:after="0" w:line="240" w:lineRule="auto"/>
        <w:ind w:firstLine="709"/>
        <w:jc w:val="both"/>
        <w:rPr>
          <w:b/>
        </w:rPr>
      </w:pPr>
      <w:r w:rsidRPr="000E2D2E">
        <w:rPr>
          <w:b/>
        </w:rPr>
        <w:t xml:space="preserve">Задачами Премии являются: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- Выявление лучших федеральных и региональных практик развития креативного сектора.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- Создание пространства для эффективного диалога между представителями креативных индустрий и признание их достижений в развитии креативного сектора.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- Формирование экосистемы креативных индустрий для укрепления межотраслевых связей креативного сообщества.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Участие в Премии принимают физические лица, организации и объединения, некоммерческие организации, осуществляющие свою деятельность в одной из 16 креативных индустрий либо реализующие кросс-индустриальные проекты. </w:t>
      </w:r>
    </w:p>
    <w:p w:rsidR="00562C47" w:rsidRPr="000E2D2E" w:rsidRDefault="00562C47" w:rsidP="00562C47">
      <w:pPr>
        <w:spacing w:after="0" w:line="240" w:lineRule="auto"/>
        <w:ind w:firstLine="709"/>
        <w:jc w:val="both"/>
        <w:rPr>
          <w:b/>
        </w:rPr>
      </w:pPr>
      <w:r w:rsidRPr="000E2D2E">
        <w:rPr>
          <w:b/>
        </w:rPr>
        <w:t xml:space="preserve">К 16 креативным индустриям относятся: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>− Исследования и разработки, в том числе в сфере организации социальных, технологических и экономических систем (R&amp;D).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 − Архитектура, </w:t>
      </w:r>
      <w:proofErr w:type="spellStart"/>
      <w:r>
        <w:t>урбанистика</w:t>
      </w:r>
      <w:proofErr w:type="spellEnd"/>
      <w:r>
        <w:t xml:space="preserve"> и организация общественных пространств.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Дизайн, включая графический, промышленный, а также дизайн цифровых систем. </w:t>
      </w:r>
    </w:p>
    <w:p w:rsidR="007F4193" w:rsidRDefault="00562C47" w:rsidP="00562C47">
      <w:pPr>
        <w:spacing w:after="0" w:line="240" w:lineRule="auto"/>
        <w:ind w:firstLine="709"/>
        <w:jc w:val="both"/>
      </w:pPr>
      <w:r>
        <w:t xml:space="preserve">− Мода.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Производство кино- и иной видеопродукции. </w:t>
      </w:r>
    </w:p>
    <w:p w:rsidR="007F4193" w:rsidRDefault="00562C47" w:rsidP="00562C47">
      <w:pPr>
        <w:spacing w:after="0" w:line="240" w:lineRule="auto"/>
        <w:ind w:firstLine="709"/>
        <w:jc w:val="both"/>
      </w:pPr>
      <w:r>
        <w:t xml:space="preserve">− Музыка и саунд-дизайн.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Исполнительские искусства, театр и фестивальная деятельность.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>− Литературная и издательская деятельность.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 − Изобразительное, визуальные искусства (арт, декоративно</w:t>
      </w:r>
      <w:r>
        <w:t xml:space="preserve">прикладное искусство). − Разработка программного обеспечения, IT.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Компьютерные игры.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Компьютерная графика и анимация.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Детские игры и игрушки.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Медиа, журналистика, производство рекламы, телевизионных, радио- и интернет-вещательных программ. </w:t>
      </w:r>
    </w:p>
    <w:p w:rsidR="007F4193" w:rsidRDefault="00562C47" w:rsidP="00562C47">
      <w:pPr>
        <w:spacing w:after="0" w:line="240" w:lineRule="auto"/>
        <w:ind w:firstLine="709"/>
        <w:jc w:val="both"/>
      </w:pPr>
      <w:r>
        <w:t xml:space="preserve">− Гастрономия.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− Образование в креативных индустриях.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Также в Премии могут принять участие представители региональных органов государственной власти, осуществляющие содействие в развитии креативных индустрий. </w:t>
      </w:r>
    </w:p>
    <w:p w:rsidR="00562C47" w:rsidRDefault="00562C47" w:rsidP="00562C47">
      <w:pPr>
        <w:spacing w:after="0" w:line="240" w:lineRule="auto"/>
        <w:ind w:firstLine="709"/>
        <w:jc w:val="both"/>
      </w:pPr>
    </w:p>
    <w:p w:rsidR="00562C47" w:rsidRPr="000E2D2E" w:rsidRDefault="00562C47" w:rsidP="00562C47">
      <w:pPr>
        <w:spacing w:after="0" w:line="240" w:lineRule="auto"/>
        <w:ind w:firstLine="709"/>
        <w:jc w:val="both"/>
        <w:rPr>
          <w:b/>
        </w:rPr>
      </w:pPr>
      <w:r w:rsidRPr="000E2D2E">
        <w:rPr>
          <w:b/>
        </w:rPr>
        <w:t>Номинации Премии: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 1. Человек года. Присуждается представителю одной из 16 креативных индустрий за выдающиеся успехи и личный вклад в развитие креативного сектора.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2. Меценат года. Присуждается физическим лицам, индивидуальным предпринимателям, коммерческим и некоммерческим организациям, оказавшим значимую поддержку проектам в сфере креативных индустрий.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3. Открытие года. Присуждается новым проектам и организациям (коммерческим и некоммерческим), а также физическим лицам, начавшим свою деятельность не ранее 12 месяцев до момента подачи заявки и внесшим существенный вклад в развитие креативных индустрий России.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4. Цифровой проект. Присуждается проектам в сфере высоких технологий и интернета, оказавшим значительное влияние на развитие национальных креативных индустрий.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5. Образовательный проект. Присуждается за реализацию инновационных образовательных проектов в сфере креативных индустрий, включая </w:t>
      </w:r>
      <w:proofErr w:type="spellStart"/>
      <w:r>
        <w:t>популяризационные</w:t>
      </w:r>
      <w:proofErr w:type="spellEnd"/>
      <w:r>
        <w:t xml:space="preserve"> и междисциплинарные.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6. Креативное пространство года. Присуждается креативному пространству (кластеру, парку, территории), оказавшему наибольшее влияние на развитие города, района или региона.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7. Культурный код. Присуждается проектам в сфере креативных индустрий, направленным на выявление, сохранение и развитие национальной идентичности и культурного наследия.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lastRenderedPageBreak/>
        <w:t xml:space="preserve">8. Событие года. Присуждается мероприятиям, внесшим существенный вклад в развитие профессионального сообщества и популяризацию креативных индустрий.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9. Креативный регион. Присуждается субъекту Российской Федерации, инициативы которого оказались наиболее эффективными и знаковыми для развития креативной экономики.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>10. Креативный социальный проект. Присуждается проекту, направленному на решение актуальных социальных проблем с использованием креативного и инновационного подхода.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 11. Специальная номинация. Учреждается на усмотрение Организационного комитета Премии, победитель выбирается из общего числа заявок.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>Лауреаты Премии имеют право на повторное участие в конкурсе, не ранее чем через 2 года после получения Премии.</w:t>
      </w:r>
    </w:p>
    <w:p w:rsidR="00562C47" w:rsidRPr="000E2D2E" w:rsidRDefault="00562C47" w:rsidP="00562C47">
      <w:pPr>
        <w:spacing w:after="0" w:line="240" w:lineRule="auto"/>
        <w:ind w:firstLine="709"/>
        <w:jc w:val="both"/>
        <w:rPr>
          <w:b/>
        </w:rPr>
      </w:pPr>
      <w:r w:rsidRPr="000E2D2E">
        <w:rPr>
          <w:b/>
        </w:rPr>
        <w:t xml:space="preserve"> Этапы Премии: </w:t>
      </w:r>
      <w:bookmarkStart w:id="0" w:name="_GoBack"/>
      <w:bookmarkEnd w:id="0"/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1. Прием заявок – с 1 сентября по 16 октября.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2. Оценка заявок экспертами – с 21 октября по 3 ноября.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3. Голосование жюри – с 10 ноября по 24 ноября.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4. Церемония награждения победителей – 1 декабря. Независимую оценку заявок проведет Экспертный совет Премии. Результатом оценки станет шорт-лист из 50 номинантов (по 5 номинантов в каждой номинации, кроме специальной номинации).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Экспертный совет Премии составляют признанные эксперты отрасли и представители креативного сообщества, внесшие вклад в развитие инфраструктуры сектора в стране.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Оценка будет проводиться в электронном виде в личных кабинетах на официальном сайте Премии в срок с 21 октября по 3 ноября.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По истечении вышеуказанного срока доступ членов Экспертного совета Премии к личным кабинетам приостанавливается.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Оценка заявок номинантов Премии осуществляется по следующим критериям: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- достижения за 2021–2022 годы; </w:t>
      </w:r>
    </w:p>
    <w:p w:rsidR="00562C47" w:rsidRDefault="00562C47" w:rsidP="00562C47">
      <w:pPr>
        <w:spacing w:after="0" w:line="240" w:lineRule="auto"/>
        <w:ind w:firstLine="709"/>
        <w:jc w:val="both"/>
      </w:pPr>
      <w:r>
        <w:t xml:space="preserve">- масштаб и охват за 2021–2022 годы; </w:t>
      </w:r>
    </w:p>
    <w:p w:rsidR="0026747E" w:rsidRDefault="00562C47" w:rsidP="00562C47">
      <w:pPr>
        <w:spacing w:after="0" w:line="240" w:lineRule="auto"/>
        <w:ind w:firstLine="709"/>
        <w:jc w:val="both"/>
      </w:pPr>
      <w:r>
        <w:t>- информационная открытость за 2021–2022 годы. Каждый из вышеуказанных критериев оценивается членами Экспертного совета Премии и Жюри Премии по 10-балльной шкале</w:t>
      </w:r>
    </w:p>
    <w:sectPr w:rsidR="0026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7A"/>
    <w:rsid w:val="000E2D2E"/>
    <w:rsid w:val="0026747E"/>
    <w:rsid w:val="0036618F"/>
    <w:rsid w:val="00562C47"/>
    <w:rsid w:val="007F4193"/>
    <w:rsid w:val="00C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59AD"/>
  <w15:chartTrackingRefBased/>
  <w15:docId w15:val="{44BFFB3A-0A0A-4175-9A14-9AFAD3E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D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D2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E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Валерия Валерьевна</dc:creator>
  <cp:keywords/>
  <dc:description/>
  <cp:lastModifiedBy>Лагутина Валерия Валерьевна</cp:lastModifiedBy>
  <cp:revision>1</cp:revision>
  <dcterms:created xsi:type="dcterms:W3CDTF">2022-10-12T08:08:00Z</dcterms:created>
  <dcterms:modified xsi:type="dcterms:W3CDTF">2022-10-14T05:01:00Z</dcterms:modified>
</cp:coreProperties>
</file>