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03" w:rsidRPr="00117A03" w:rsidRDefault="00117A03" w:rsidP="00117A03">
      <w:pPr>
        <w:widowControl w:val="0"/>
        <w:tabs>
          <w:tab w:val="left" w:pos="0"/>
          <w:tab w:val="left" w:pos="54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 xml:space="preserve">Об утверждении типового </w:t>
      </w:r>
    </w:p>
    <w:p w:rsidR="00117A03" w:rsidRPr="00117A03" w:rsidRDefault="00117A03" w:rsidP="00117A03">
      <w:pPr>
        <w:widowControl w:val="0"/>
        <w:tabs>
          <w:tab w:val="left" w:pos="0"/>
          <w:tab w:val="left" w:pos="54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 xml:space="preserve">положения о порядке </w:t>
      </w:r>
    </w:p>
    <w:p w:rsidR="00117A03" w:rsidRPr="00117A03" w:rsidRDefault="00117A03" w:rsidP="00117A03">
      <w:pPr>
        <w:widowControl w:val="0"/>
        <w:tabs>
          <w:tab w:val="left" w:pos="0"/>
          <w:tab w:val="left" w:pos="54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 xml:space="preserve">организации и проведения </w:t>
      </w:r>
    </w:p>
    <w:p w:rsidR="00117A03" w:rsidRPr="00117A03" w:rsidRDefault="00117A03" w:rsidP="00117A03">
      <w:pPr>
        <w:widowControl w:val="0"/>
        <w:tabs>
          <w:tab w:val="left" w:pos="0"/>
          <w:tab w:val="left" w:pos="54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 xml:space="preserve">конкурентных процедур </w:t>
      </w:r>
    </w:p>
    <w:p w:rsidR="00117A03" w:rsidRPr="00117A03" w:rsidRDefault="00117A03" w:rsidP="00117A03">
      <w:pPr>
        <w:widowControl w:val="0"/>
        <w:tabs>
          <w:tab w:val="left" w:pos="0"/>
          <w:tab w:val="left" w:pos="54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 xml:space="preserve">при реализации имущества </w:t>
      </w:r>
    </w:p>
    <w:p w:rsidR="00117A03" w:rsidRPr="00117A03" w:rsidRDefault="00117A03" w:rsidP="00117A03">
      <w:pPr>
        <w:widowControl w:val="0"/>
        <w:tabs>
          <w:tab w:val="left" w:pos="0"/>
          <w:tab w:val="left" w:pos="54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 xml:space="preserve">хозяйствующими субъектами, </w:t>
      </w:r>
    </w:p>
    <w:p w:rsidR="00117A03" w:rsidRPr="00117A03" w:rsidRDefault="00117A03" w:rsidP="00117A03">
      <w:pPr>
        <w:widowControl w:val="0"/>
        <w:tabs>
          <w:tab w:val="left" w:pos="0"/>
          <w:tab w:val="left" w:pos="54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 xml:space="preserve">доля участия муниципального </w:t>
      </w:r>
    </w:p>
    <w:p w:rsidR="00117A03" w:rsidRPr="00117A03" w:rsidRDefault="00117A03" w:rsidP="00117A03">
      <w:pPr>
        <w:widowControl w:val="0"/>
        <w:tabs>
          <w:tab w:val="left" w:pos="0"/>
          <w:tab w:val="left" w:pos="54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 xml:space="preserve">образования в которых составляет </w:t>
      </w:r>
    </w:p>
    <w:p w:rsidR="00117A03" w:rsidRPr="00117A03" w:rsidRDefault="00117A03" w:rsidP="00117A03">
      <w:pPr>
        <w:widowControl w:val="0"/>
        <w:tabs>
          <w:tab w:val="left" w:pos="0"/>
          <w:tab w:val="left" w:pos="54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50 и более процентов</w:t>
      </w:r>
    </w:p>
    <w:p w:rsidR="00117A03" w:rsidRPr="00117A03" w:rsidRDefault="00117A03" w:rsidP="00117A03">
      <w:pPr>
        <w:widowControl w:val="0"/>
        <w:tabs>
          <w:tab w:val="left" w:pos="0"/>
          <w:tab w:val="left" w:pos="540"/>
        </w:tabs>
        <w:spacing w:after="0" w:line="240" w:lineRule="auto"/>
        <w:ind w:firstLine="567"/>
        <w:jc w:val="both"/>
        <w:rPr>
          <w:rFonts w:ascii="Times New Roman" w:eastAsia="Times New Roman" w:hAnsi="Times New Roman" w:cs="Times New Roman"/>
          <w:snapToGrid w:val="0"/>
          <w:sz w:val="20"/>
          <w:szCs w:val="20"/>
          <w:lang w:eastAsia="ru-RU"/>
        </w:rPr>
      </w:pPr>
    </w:p>
    <w:p w:rsidR="00117A03" w:rsidRPr="00117A03" w:rsidRDefault="00117A03" w:rsidP="00117A03">
      <w:pPr>
        <w:widowControl w:val="0"/>
        <w:tabs>
          <w:tab w:val="left" w:pos="0"/>
          <w:tab w:val="left" w:pos="540"/>
        </w:tabs>
        <w:spacing w:after="0" w:line="240" w:lineRule="auto"/>
        <w:ind w:firstLine="567"/>
        <w:jc w:val="both"/>
        <w:rPr>
          <w:rFonts w:ascii="Times New Roman" w:eastAsia="Times New Roman" w:hAnsi="Times New Roman" w:cs="Times New Roman"/>
          <w:snapToGrid w:val="0"/>
          <w:sz w:val="20"/>
          <w:szCs w:val="20"/>
          <w:lang w:eastAsia="ru-RU"/>
        </w:rPr>
      </w:pPr>
    </w:p>
    <w:p w:rsidR="00117A03" w:rsidRPr="00117A03" w:rsidRDefault="00117A03" w:rsidP="00117A03">
      <w:pPr>
        <w:widowControl w:val="0"/>
        <w:tabs>
          <w:tab w:val="left" w:pos="0"/>
          <w:tab w:val="left" w:pos="540"/>
        </w:tabs>
        <w:spacing w:after="0" w:line="240" w:lineRule="auto"/>
        <w:ind w:firstLine="567"/>
        <w:jc w:val="both"/>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0"/>
          <w:lang w:eastAsia="ru-RU"/>
        </w:rPr>
        <w:t xml:space="preserve">Во исполнение распоряжения Правительства Ханты-Мансийского автономного округа – Югры от 10.07.2015 № 387-рн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w:t>
      </w:r>
      <w:r w:rsidRPr="00117A03">
        <w:rPr>
          <w:rFonts w:ascii="Times New Roman" w:eastAsia="Times New Roman" w:hAnsi="Times New Roman" w:cs="Times New Roman"/>
          <w:snapToGrid w:val="0"/>
          <w:spacing w:val="-4"/>
          <w:sz w:val="28"/>
          <w:szCs w:val="20"/>
          <w:lang w:eastAsia="ru-RU"/>
        </w:rPr>
        <w:t>Правительства Ханты-Мансийского автономного округа – Югры от 04.07.2014 № 382-рп</w:t>
      </w:r>
      <w:r w:rsidRPr="00117A03">
        <w:rPr>
          <w:rFonts w:ascii="Times New Roman" w:eastAsia="Times New Roman" w:hAnsi="Times New Roman" w:cs="Times New Roman"/>
          <w:snapToGrid w:val="0"/>
          <w:sz w:val="28"/>
          <w:szCs w:val="20"/>
          <w:lang w:eastAsia="ru-RU"/>
        </w:rPr>
        <w:br/>
        <w:t>«О плане мероприятий («дорожной карте») «Развитие конкуренции в Ханты-Мансийском автономном округе – Югре», в целях эффективной реализации полномочий акционера, совершенствования качества корпоративного управ-ления:</w:t>
      </w:r>
    </w:p>
    <w:p w:rsidR="00117A03" w:rsidRPr="00117A03" w:rsidRDefault="00117A03" w:rsidP="00117A03">
      <w:pPr>
        <w:spacing w:after="0" w:line="240" w:lineRule="auto"/>
        <w:ind w:firstLine="567"/>
        <w:jc w:val="both"/>
        <w:rPr>
          <w:rFonts w:ascii="Times New Roman" w:eastAsia="Calibri" w:hAnsi="Times New Roman" w:cs="Times New Roman"/>
          <w:sz w:val="28"/>
          <w:szCs w:val="24"/>
        </w:rPr>
      </w:pPr>
      <w:r w:rsidRPr="00117A03">
        <w:rPr>
          <w:rFonts w:ascii="Times New Roman" w:eastAsia="Calibri" w:hAnsi="Times New Roman" w:cs="Times New Roman"/>
          <w:sz w:val="28"/>
          <w:szCs w:val="24"/>
        </w:rPr>
        <w:t xml:space="preserve">1. Утвердить типовое положение о порядке организации и проведения конкурентных процедур при реализации имущества хозяйствующими субъектами, доля участия </w:t>
      </w:r>
      <w:r w:rsidRPr="00117A03">
        <w:rPr>
          <w:rFonts w:ascii="Times New Roman" w:eastAsia="Calibri" w:hAnsi="Times New Roman" w:cs="Times New Roman"/>
          <w:sz w:val="28"/>
        </w:rPr>
        <w:t xml:space="preserve">муниципального образования </w:t>
      </w:r>
      <w:r w:rsidRPr="00117A03">
        <w:rPr>
          <w:rFonts w:ascii="Times New Roman" w:eastAsia="Calibri" w:hAnsi="Times New Roman" w:cs="Times New Roman"/>
          <w:sz w:val="28"/>
          <w:szCs w:val="24"/>
        </w:rPr>
        <w:t>в которых составляет 50                       и более процентов, согласно приложению.</w:t>
      </w:r>
    </w:p>
    <w:p w:rsidR="00117A03" w:rsidRPr="00117A03" w:rsidRDefault="00117A03" w:rsidP="00117A03">
      <w:pPr>
        <w:spacing w:after="0" w:line="240" w:lineRule="auto"/>
        <w:ind w:firstLine="567"/>
        <w:jc w:val="both"/>
        <w:rPr>
          <w:rFonts w:ascii="Times New Roman" w:eastAsia="Calibri" w:hAnsi="Times New Roman" w:cs="Times New Roman"/>
          <w:sz w:val="28"/>
          <w:szCs w:val="24"/>
        </w:rPr>
      </w:pPr>
      <w:r w:rsidRPr="00117A03">
        <w:rPr>
          <w:rFonts w:ascii="Times New Roman" w:eastAsia="Calibri" w:hAnsi="Times New Roman" w:cs="Times New Roman"/>
          <w:sz w:val="28"/>
          <w:szCs w:val="24"/>
        </w:rPr>
        <w:t xml:space="preserve">2. Комитету по управлению имуществом направить типовое положение                 о порядке организации и проведения конкурентных процедур при реализации имущества хозяйствующими субъектами, доля участия </w:t>
      </w:r>
      <w:r w:rsidRPr="00117A03">
        <w:rPr>
          <w:rFonts w:ascii="Times New Roman" w:eastAsia="Calibri" w:hAnsi="Times New Roman" w:cs="Times New Roman"/>
          <w:sz w:val="28"/>
        </w:rPr>
        <w:t xml:space="preserve">муниципального                  образования </w:t>
      </w:r>
      <w:r w:rsidRPr="00117A03">
        <w:rPr>
          <w:rFonts w:ascii="Times New Roman" w:eastAsia="Calibri" w:hAnsi="Times New Roman" w:cs="Times New Roman"/>
          <w:sz w:val="28"/>
          <w:szCs w:val="24"/>
        </w:rPr>
        <w:t>в которых составляет 50 и более процентов, в хозяйственные               общества с долей участия муниципального образования в уставном капитале более 50 процентов для применения в работе.</w:t>
      </w:r>
    </w:p>
    <w:p w:rsidR="00117A03" w:rsidRPr="00117A03" w:rsidRDefault="00117A03" w:rsidP="00117A03">
      <w:pPr>
        <w:widowControl w:val="0"/>
        <w:tabs>
          <w:tab w:val="left" w:pos="0"/>
        </w:tabs>
        <w:spacing w:after="0" w:line="240" w:lineRule="auto"/>
        <w:jc w:val="both"/>
        <w:rPr>
          <w:rFonts w:ascii="Times New Roman" w:eastAsia="Times New Roman" w:hAnsi="Times New Roman" w:cs="Times New Roman"/>
          <w:snapToGrid w:val="0"/>
          <w:sz w:val="24"/>
          <w:szCs w:val="24"/>
          <w:lang w:eastAsia="ru-RU"/>
        </w:rPr>
      </w:pPr>
    </w:p>
    <w:p w:rsidR="00117A03" w:rsidRPr="00117A03" w:rsidRDefault="00117A03" w:rsidP="00117A03">
      <w:pPr>
        <w:widowControl w:val="0"/>
        <w:tabs>
          <w:tab w:val="left" w:pos="0"/>
        </w:tabs>
        <w:spacing w:after="0" w:line="240" w:lineRule="auto"/>
        <w:jc w:val="both"/>
        <w:rPr>
          <w:rFonts w:ascii="Times New Roman" w:eastAsia="Times New Roman" w:hAnsi="Times New Roman" w:cs="Times New Roman"/>
          <w:snapToGrid w:val="0"/>
          <w:sz w:val="24"/>
          <w:szCs w:val="24"/>
          <w:lang w:eastAsia="ru-RU"/>
        </w:rPr>
      </w:pP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r w:rsidRPr="00117A03">
        <w:rPr>
          <w:rFonts w:ascii="Times New Roman" w:eastAsia="Times New Roman" w:hAnsi="Times New Roman" w:cs="Times New Roman"/>
          <w:snapToGrid w:val="0"/>
          <w:sz w:val="28"/>
          <w:szCs w:val="28"/>
          <w:lang w:eastAsia="ru-RU"/>
        </w:rPr>
        <w:t>Глава города</w:t>
      </w:r>
      <w:r w:rsidRPr="00117A03">
        <w:rPr>
          <w:rFonts w:ascii="Times New Roman" w:eastAsia="Times New Roman" w:hAnsi="Times New Roman" w:cs="Times New Roman"/>
          <w:snapToGrid w:val="0"/>
          <w:sz w:val="28"/>
          <w:szCs w:val="28"/>
          <w:lang w:eastAsia="ru-RU"/>
        </w:rPr>
        <w:tab/>
      </w:r>
      <w:r w:rsidRPr="00117A03">
        <w:rPr>
          <w:rFonts w:ascii="Times New Roman" w:eastAsia="Times New Roman" w:hAnsi="Times New Roman" w:cs="Times New Roman"/>
          <w:snapToGrid w:val="0"/>
          <w:sz w:val="28"/>
          <w:szCs w:val="28"/>
          <w:lang w:eastAsia="ru-RU"/>
        </w:rPr>
        <w:tab/>
      </w:r>
      <w:r w:rsidRPr="00117A03">
        <w:rPr>
          <w:rFonts w:ascii="Times New Roman" w:eastAsia="Times New Roman" w:hAnsi="Times New Roman" w:cs="Times New Roman"/>
          <w:snapToGrid w:val="0"/>
          <w:sz w:val="28"/>
          <w:szCs w:val="28"/>
          <w:lang w:eastAsia="ru-RU"/>
        </w:rPr>
        <w:tab/>
      </w:r>
      <w:r w:rsidRPr="00117A03">
        <w:rPr>
          <w:rFonts w:ascii="Times New Roman" w:eastAsia="Times New Roman" w:hAnsi="Times New Roman" w:cs="Times New Roman"/>
          <w:snapToGrid w:val="0"/>
          <w:sz w:val="28"/>
          <w:szCs w:val="28"/>
          <w:lang w:eastAsia="ru-RU"/>
        </w:rPr>
        <w:tab/>
      </w:r>
      <w:r w:rsidRPr="00117A03">
        <w:rPr>
          <w:rFonts w:ascii="Times New Roman" w:eastAsia="Times New Roman" w:hAnsi="Times New Roman" w:cs="Times New Roman"/>
          <w:snapToGrid w:val="0"/>
          <w:sz w:val="28"/>
          <w:szCs w:val="28"/>
          <w:lang w:eastAsia="ru-RU"/>
        </w:rPr>
        <w:tab/>
      </w:r>
      <w:r w:rsidRPr="00117A03">
        <w:rPr>
          <w:rFonts w:ascii="Times New Roman" w:eastAsia="Times New Roman" w:hAnsi="Times New Roman" w:cs="Times New Roman"/>
          <w:snapToGrid w:val="0"/>
          <w:sz w:val="28"/>
          <w:szCs w:val="28"/>
          <w:lang w:eastAsia="ru-RU"/>
        </w:rPr>
        <w:tab/>
      </w:r>
      <w:r w:rsidRPr="00117A03">
        <w:rPr>
          <w:rFonts w:ascii="Times New Roman" w:eastAsia="Times New Roman" w:hAnsi="Times New Roman" w:cs="Times New Roman"/>
          <w:snapToGrid w:val="0"/>
          <w:sz w:val="28"/>
          <w:szCs w:val="28"/>
          <w:lang w:eastAsia="ru-RU"/>
        </w:rPr>
        <w:tab/>
      </w:r>
      <w:r w:rsidRPr="00117A03">
        <w:rPr>
          <w:rFonts w:ascii="Times New Roman" w:eastAsia="Times New Roman" w:hAnsi="Times New Roman" w:cs="Times New Roman"/>
          <w:snapToGrid w:val="0"/>
          <w:sz w:val="28"/>
          <w:szCs w:val="28"/>
          <w:lang w:eastAsia="ru-RU"/>
        </w:rPr>
        <w:tab/>
      </w:r>
      <w:r w:rsidRPr="00117A03">
        <w:rPr>
          <w:rFonts w:ascii="Times New Roman" w:eastAsia="Times New Roman" w:hAnsi="Times New Roman" w:cs="Times New Roman"/>
          <w:snapToGrid w:val="0"/>
          <w:sz w:val="28"/>
          <w:szCs w:val="28"/>
          <w:lang w:eastAsia="ru-RU"/>
        </w:rPr>
        <w:tab/>
        <w:t xml:space="preserve">  В.Н. Шувалов</w:t>
      </w: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Федорова Татьяна Владимировна (комитет по управлению имуществом)</w:t>
      </w:r>
    </w:p>
    <w:p w:rsid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Тел. (3462) 52-83-17</w:t>
      </w:r>
      <w:bookmarkStart w:id="0" w:name="_GoBack"/>
      <w:bookmarkEnd w:id="0"/>
    </w:p>
    <w:p w:rsidR="00117A03" w:rsidRPr="00117A03" w:rsidRDefault="00117A03" w:rsidP="00117A03">
      <w:pPr>
        <w:widowControl w:val="0"/>
        <w:tabs>
          <w:tab w:val="left" w:pos="0"/>
        </w:tabs>
        <w:spacing w:after="0" w:line="240" w:lineRule="auto"/>
        <w:rPr>
          <w:rFonts w:ascii="Times New Roman" w:eastAsia="Times New Roman" w:hAnsi="Times New Roman" w:cs="Times New Roman"/>
          <w:snapToGrid w:val="0"/>
          <w:sz w:val="28"/>
          <w:szCs w:val="20"/>
          <w:lang w:eastAsia="ru-RU"/>
        </w:rPr>
      </w:pPr>
      <w:r w:rsidRPr="00117A03">
        <w:rPr>
          <w:rFonts w:ascii="Times New Roman" w:eastAsia="Times New Roman" w:hAnsi="Times New Roman" w:cs="Times New Roman"/>
          <w:snapToGrid w:val="0"/>
          <w:sz w:val="28"/>
          <w:szCs w:val="28"/>
          <w:lang w:eastAsia="ru-RU"/>
        </w:rPr>
        <w:br w:type="page"/>
      </w:r>
    </w:p>
    <w:p w:rsidR="00117A03" w:rsidRPr="00117A03" w:rsidRDefault="00117A03" w:rsidP="00117A03">
      <w:pPr>
        <w:spacing w:after="0" w:line="240" w:lineRule="auto"/>
        <w:rPr>
          <w:rFonts w:ascii="Times New Roman" w:eastAsia="Calibri" w:hAnsi="Times New Roman" w:cs="Times New Roman"/>
          <w:sz w:val="28"/>
        </w:rPr>
        <w:sectPr w:rsidR="00117A03" w:rsidRPr="00117A03">
          <w:headerReference w:type="default" r:id="rId4"/>
          <w:pgSz w:w="11900" w:h="16820"/>
          <w:pgMar w:top="1134" w:right="567" w:bottom="1134" w:left="1701" w:header="720" w:footer="720" w:gutter="0"/>
          <w:cols w:space="60"/>
          <w:noEndnote/>
        </w:sectPr>
      </w:pPr>
    </w:p>
    <w:p w:rsidR="00117A03" w:rsidRPr="00117A03" w:rsidRDefault="00117A03" w:rsidP="00117A03">
      <w:pPr>
        <w:autoSpaceDE w:val="0"/>
        <w:autoSpaceDN w:val="0"/>
        <w:adjustRightInd w:val="0"/>
        <w:spacing w:after="0" w:line="240" w:lineRule="auto"/>
        <w:ind w:left="5954"/>
        <w:rPr>
          <w:rFonts w:ascii="Times New Roman" w:eastAsia="Calibri" w:hAnsi="Times New Roman" w:cs="Times New Roman"/>
          <w:sz w:val="28"/>
          <w:szCs w:val="24"/>
        </w:rPr>
      </w:pPr>
      <w:r w:rsidRPr="00117A03">
        <w:rPr>
          <w:rFonts w:ascii="Times New Roman" w:eastAsia="Calibri" w:hAnsi="Times New Roman" w:cs="Times New Roman"/>
          <w:sz w:val="28"/>
          <w:szCs w:val="24"/>
        </w:rPr>
        <w:lastRenderedPageBreak/>
        <w:t>Приложение</w:t>
      </w:r>
    </w:p>
    <w:p w:rsidR="00117A03" w:rsidRPr="00117A03" w:rsidRDefault="00117A03" w:rsidP="00117A03">
      <w:pPr>
        <w:spacing w:after="0" w:line="240" w:lineRule="auto"/>
        <w:ind w:left="5954"/>
        <w:rPr>
          <w:rFonts w:ascii="Times New Roman" w:eastAsia="Calibri" w:hAnsi="Times New Roman" w:cs="Times New Roman"/>
          <w:sz w:val="28"/>
          <w:szCs w:val="24"/>
        </w:rPr>
      </w:pPr>
      <w:r w:rsidRPr="00117A03">
        <w:rPr>
          <w:rFonts w:ascii="Times New Roman" w:eastAsia="Calibri" w:hAnsi="Times New Roman" w:cs="Times New Roman"/>
          <w:sz w:val="28"/>
          <w:szCs w:val="24"/>
        </w:rPr>
        <w:t>к постановлению</w:t>
      </w:r>
    </w:p>
    <w:p w:rsidR="00117A03" w:rsidRPr="00117A03" w:rsidRDefault="00117A03" w:rsidP="00117A03">
      <w:pPr>
        <w:spacing w:after="0" w:line="240" w:lineRule="auto"/>
        <w:ind w:left="5954"/>
        <w:rPr>
          <w:rFonts w:ascii="Times New Roman" w:eastAsia="Calibri" w:hAnsi="Times New Roman" w:cs="Times New Roman"/>
          <w:sz w:val="28"/>
          <w:szCs w:val="24"/>
        </w:rPr>
      </w:pPr>
      <w:r w:rsidRPr="00117A03">
        <w:rPr>
          <w:rFonts w:ascii="Times New Roman" w:eastAsia="Calibri" w:hAnsi="Times New Roman" w:cs="Times New Roman"/>
          <w:sz w:val="28"/>
          <w:szCs w:val="24"/>
        </w:rPr>
        <w:t>Администрации города</w:t>
      </w:r>
    </w:p>
    <w:p w:rsidR="00117A03" w:rsidRPr="00117A03" w:rsidRDefault="00117A03" w:rsidP="00117A03">
      <w:pPr>
        <w:spacing w:after="0" w:line="240" w:lineRule="auto"/>
        <w:ind w:left="5954"/>
        <w:rPr>
          <w:rFonts w:ascii="Times New Roman" w:eastAsia="Calibri" w:hAnsi="Times New Roman" w:cs="Times New Roman"/>
          <w:sz w:val="28"/>
          <w:szCs w:val="24"/>
        </w:rPr>
      </w:pPr>
      <w:r w:rsidRPr="00117A03">
        <w:rPr>
          <w:rFonts w:ascii="Times New Roman" w:eastAsia="Calibri" w:hAnsi="Times New Roman" w:cs="Times New Roman"/>
          <w:sz w:val="28"/>
          <w:szCs w:val="24"/>
        </w:rPr>
        <w:t>от ____________ № _________</w:t>
      </w:r>
    </w:p>
    <w:p w:rsidR="00117A03" w:rsidRPr="00117A03" w:rsidRDefault="00117A03" w:rsidP="00117A03">
      <w:pPr>
        <w:spacing w:after="0" w:line="240" w:lineRule="auto"/>
        <w:ind w:left="6372" w:hanging="212"/>
        <w:rPr>
          <w:rFonts w:ascii="Times New Roman" w:eastAsia="Calibri" w:hAnsi="Times New Roman" w:cs="Times New Roman"/>
          <w:sz w:val="28"/>
          <w:szCs w:val="24"/>
        </w:rPr>
      </w:pPr>
    </w:p>
    <w:p w:rsidR="00117A03" w:rsidRPr="00117A03" w:rsidRDefault="00117A03" w:rsidP="00117A03">
      <w:pPr>
        <w:spacing w:after="0" w:line="240" w:lineRule="auto"/>
        <w:ind w:left="6372" w:hanging="212"/>
        <w:rPr>
          <w:rFonts w:ascii="Times New Roman" w:eastAsia="Calibri" w:hAnsi="Times New Roman" w:cs="Times New Roman"/>
          <w:sz w:val="28"/>
          <w:szCs w:val="24"/>
        </w:rPr>
      </w:pPr>
    </w:p>
    <w:p w:rsidR="00117A03" w:rsidRPr="00117A03" w:rsidRDefault="00117A03" w:rsidP="00117A03">
      <w:pPr>
        <w:spacing w:after="0" w:line="240" w:lineRule="auto"/>
        <w:jc w:val="center"/>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Типовое положение </w:t>
      </w:r>
    </w:p>
    <w:p w:rsidR="00117A03" w:rsidRPr="00117A03" w:rsidRDefault="00117A03" w:rsidP="00117A03">
      <w:pPr>
        <w:spacing w:after="0" w:line="240" w:lineRule="auto"/>
        <w:jc w:val="center"/>
        <w:rPr>
          <w:rFonts w:ascii="Times New Roman" w:eastAsia="Calibri" w:hAnsi="Times New Roman" w:cs="Times New Roman"/>
          <w:sz w:val="28"/>
          <w:szCs w:val="28"/>
        </w:rPr>
      </w:pPr>
      <w:r w:rsidRPr="00117A03">
        <w:rPr>
          <w:rFonts w:ascii="Times New Roman" w:eastAsia="Calibri" w:hAnsi="Times New Roman" w:cs="Times New Roman"/>
          <w:sz w:val="28"/>
          <w:szCs w:val="28"/>
        </w:rPr>
        <w:t>о порядке организации и проведения конкурентных процедур при реализации имущества хозяйствующими субъектами, доля участия муниципального</w:t>
      </w:r>
    </w:p>
    <w:p w:rsidR="00117A03" w:rsidRPr="00117A03" w:rsidRDefault="00117A03" w:rsidP="00117A03">
      <w:pPr>
        <w:spacing w:after="0" w:line="240" w:lineRule="auto"/>
        <w:jc w:val="center"/>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образования в которых составляет 50 и более процентов </w:t>
      </w:r>
    </w:p>
    <w:p w:rsidR="00117A03" w:rsidRPr="00117A03" w:rsidRDefault="00117A03" w:rsidP="00117A03">
      <w:pPr>
        <w:spacing w:after="0" w:line="240" w:lineRule="auto"/>
        <w:jc w:val="center"/>
        <w:rPr>
          <w:rFonts w:ascii="Times New Roman" w:eastAsia="Calibri" w:hAnsi="Times New Roman" w:cs="Times New Roman"/>
          <w:sz w:val="28"/>
          <w:szCs w:val="28"/>
        </w:rPr>
      </w:pPr>
      <w:r w:rsidRPr="00117A03">
        <w:rPr>
          <w:rFonts w:ascii="Times New Roman" w:eastAsia="Calibri" w:hAnsi="Times New Roman" w:cs="Times New Roman"/>
          <w:sz w:val="28"/>
          <w:szCs w:val="28"/>
        </w:rPr>
        <w:t>(далее – положение)</w:t>
      </w:r>
    </w:p>
    <w:p w:rsidR="00117A03" w:rsidRPr="00117A03" w:rsidRDefault="00117A03" w:rsidP="00117A03">
      <w:pPr>
        <w:spacing w:after="0" w:line="240" w:lineRule="auto"/>
        <w:jc w:val="center"/>
        <w:rPr>
          <w:rFonts w:ascii="Times New Roman" w:eastAsia="Calibri" w:hAnsi="Times New Roman" w:cs="Times New Roman"/>
          <w:sz w:val="28"/>
          <w:szCs w:val="28"/>
        </w:rPr>
      </w:pP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Раздел </w:t>
      </w:r>
      <w:r w:rsidRPr="00117A03">
        <w:rPr>
          <w:rFonts w:ascii="Times New Roman" w:eastAsia="Calibri" w:hAnsi="Times New Roman" w:cs="Times New Roman"/>
          <w:sz w:val="28"/>
          <w:szCs w:val="28"/>
          <w:lang w:val="en-US"/>
        </w:rPr>
        <w:t>I</w:t>
      </w:r>
      <w:r w:rsidRPr="00117A03">
        <w:rPr>
          <w:rFonts w:ascii="Times New Roman" w:eastAsia="Calibri" w:hAnsi="Times New Roman" w:cs="Times New Roman"/>
          <w:sz w:val="28"/>
          <w:szCs w:val="28"/>
        </w:rPr>
        <w:t>. Общие положения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1. Настоящее положение определяет порядок организации и проведения конкурентных процедур при реализации (возмездном отчуждении) имущества хозяйствующими субъектами, доля участия муниципального образования                 городской округ город Сургут в которых составляет 50 и более процентов             (далее – общество).</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 Действие настоящего положения регулирует отношения по реализации недвижимого имущества независимо от балансовой (остаточной) стоимости имущества общества и движимого имущества общества балансовой стоимостью более 200 тысяч рублей.</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3. Положение является внутренним документом общества и подлежит           утверждению советом директоров (наблюдательным советом) общества.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4"/>
        </w:rPr>
      </w:pPr>
      <w:r w:rsidRPr="00117A03">
        <w:rPr>
          <w:rFonts w:ascii="Times New Roman" w:eastAsia="Calibri" w:hAnsi="Times New Roman" w:cs="Times New Roman"/>
          <w:sz w:val="28"/>
          <w:szCs w:val="24"/>
        </w:rPr>
        <w:t>4. Реализация имущества общества основана на принципах публичности, открытости, прозрачности, конкурентности и возмездности.</w:t>
      </w:r>
    </w:p>
    <w:p w:rsidR="00117A03" w:rsidRPr="00117A03" w:rsidRDefault="00117A03" w:rsidP="00117A03">
      <w:pPr>
        <w:spacing w:after="0" w:line="240" w:lineRule="auto"/>
        <w:ind w:firstLine="567"/>
        <w:jc w:val="both"/>
        <w:rPr>
          <w:rFonts w:ascii="Times New Roman" w:eastAsia="Calibri" w:hAnsi="Times New Roman" w:cs="Times New Roman"/>
          <w:sz w:val="28"/>
          <w:szCs w:val="24"/>
        </w:rPr>
      </w:pPr>
    </w:p>
    <w:p w:rsidR="00117A03" w:rsidRPr="00117A03" w:rsidRDefault="00117A03" w:rsidP="00117A03">
      <w:pPr>
        <w:spacing w:after="0" w:line="240" w:lineRule="auto"/>
        <w:ind w:firstLine="567"/>
        <w:jc w:val="both"/>
        <w:rPr>
          <w:rFonts w:ascii="Times New Roman" w:eastAsia="Calibri" w:hAnsi="Times New Roman" w:cs="Times New Roman"/>
          <w:sz w:val="28"/>
          <w:szCs w:val="24"/>
        </w:rPr>
      </w:pPr>
      <w:r w:rsidRPr="00117A03">
        <w:rPr>
          <w:rFonts w:ascii="Times New Roman" w:eastAsia="Calibri" w:hAnsi="Times New Roman" w:cs="Times New Roman"/>
          <w:sz w:val="28"/>
          <w:szCs w:val="24"/>
        </w:rPr>
        <w:t xml:space="preserve">Раздел </w:t>
      </w:r>
      <w:r w:rsidRPr="00117A03">
        <w:rPr>
          <w:rFonts w:ascii="Times New Roman" w:eastAsia="Calibri" w:hAnsi="Times New Roman" w:cs="Times New Roman"/>
          <w:sz w:val="28"/>
          <w:szCs w:val="24"/>
          <w:lang w:val="en-US"/>
        </w:rPr>
        <w:t>II</w:t>
      </w:r>
      <w:r w:rsidRPr="00117A03">
        <w:rPr>
          <w:rFonts w:ascii="Times New Roman" w:eastAsia="Calibri" w:hAnsi="Times New Roman" w:cs="Times New Roman"/>
          <w:sz w:val="28"/>
          <w:szCs w:val="24"/>
        </w:rPr>
        <w:t>. Решение о реализации имущества общества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1. Решение о реализации имущества принимается органом управления          общества в соответствии с компетенцией, установленной действующим законодательством и уставом общества.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2. Решение о реализации имущества оформляется приказом общества,          протоколом совета директоров общества или общего собрания акционеров (участников) общества, распоряжением Администрации города (в случае если муниципальное образование является единственным акционером (участником) общества). </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3. В решении о реализации имущества должны содержаться следующие сведения: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наименование имущества и иные позволяющие его индивидуализировать данные (характеристика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организатор торгов;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способ реализации имущества и форма (при проведении продажи</w:t>
      </w:r>
      <w:r w:rsidRPr="00117A03">
        <w:rPr>
          <w:rFonts w:ascii="Times New Roman" w:eastAsia="Calibri" w:hAnsi="Times New Roman" w:cs="Times New Roman"/>
          <w:sz w:val="28"/>
          <w:szCs w:val="28"/>
        </w:rPr>
        <w:br/>
        <w:t>в электронной форме);</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начальная цена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размер задатка за участие в аукционе;</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lastRenderedPageBreak/>
        <w:t>- величина повышения начальной цены («шаг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срок рассрочки платежа (в случае ее предоставления);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иные существенные условия реализации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Раздел </w:t>
      </w:r>
      <w:r w:rsidRPr="00117A03">
        <w:rPr>
          <w:rFonts w:ascii="Times New Roman" w:eastAsia="Calibri" w:hAnsi="Times New Roman" w:cs="Times New Roman"/>
          <w:sz w:val="28"/>
          <w:szCs w:val="28"/>
          <w:lang w:val="en-US"/>
        </w:rPr>
        <w:t>III</w:t>
      </w:r>
      <w:r w:rsidRPr="00117A03">
        <w:rPr>
          <w:rFonts w:ascii="Times New Roman" w:eastAsia="Calibri" w:hAnsi="Times New Roman" w:cs="Times New Roman"/>
          <w:sz w:val="28"/>
          <w:szCs w:val="28"/>
        </w:rPr>
        <w:t>. Порядок организации торгов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1. Реализация имущества осуществляется посредством конкурентной          </w:t>
      </w:r>
      <w:r w:rsidRPr="00117A03">
        <w:rPr>
          <w:rFonts w:ascii="Times New Roman" w:eastAsia="Calibri" w:hAnsi="Times New Roman" w:cs="Times New Roman"/>
          <w:spacing w:val="-4"/>
          <w:sz w:val="28"/>
          <w:szCs w:val="28"/>
        </w:rPr>
        <w:t>процедуры в форме аукциона в соответствии со статьями 447, 448 Гражданского</w:t>
      </w:r>
      <w:r w:rsidRPr="00117A03">
        <w:rPr>
          <w:rFonts w:ascii="Times New Roman" w:eastAsia="Calibri" w:hAnsi="Times New Roman" w:cs="Times New Roman"/>
          <w:sz w:val="28"/>
          <w:szCs w:val="28"/>
        </w:rPr>
        <w:t xml:space="preserve"> кодекса Российской Федерации и настоящим положением.</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 Аукционы (в том числе в электронной форме) являются открытыми</w:t>
      </w:r>
      <w:r w:rsidRPr="00117A03">
        <w:rPr>
          <w:rFonts w:ascii="Times New Roman" w:eastAsia="Calibri" w:hAnsi="Times New Roman" w:cs="Times New Roman"/>
          <w:sz w:val="28"/>
          <w:szCs w:val="28"/>
        </w:rPr>
        <w:br/>
        <w:t>по составу участников и по форме подачи предложений о цене (предложения           о цене имущества заявляются открыто в ходе проведения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3. Право приобретения имущества принадлежит покупателю, который предложит в ходе торгов наиболее высокую цену за имущество.</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Аукцион, в котором принял участие только один участник, признается          несостоявшимся. В случае признания аукциона несостоявшимся, общество вправе заключить договор с единственным участником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4. В качестве организатора торгов может выступать общество или специализированная организация.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Для осуществления функций по подготовке и проведению аукциона         организатор торгов назначает из числа своих работников уполномоченного представителя, аукциониста, создает комиссию по организации и проведению торгов по продаже имущества общества. </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Организатор торгов принимает меры по обеспечению сохранности заявок</w:t>
      </w:r>
      <w:r w:rsidRPr="00117A03">
        <w:rPr>
          <w:rFonts w:ascii="Times New Roman" w:eastAsia="Calibri" w:hAnsi="Times New Roman" w:cs="Times New Roman"/>
          <w:sz w:val="28"/>
          <w:szCs w:val="28"/>
        </w:rPr>
        <w:br/>
        <w:t>и прилагаемых к ним документов, а также конфиденциальности сведений                         о лицах, подавших заявки, и содержания представленных ими документов               до момента их рассмотрения.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pacing w:val="-4"/>
          <w:sz w:val="28"/>
          <w:szCs w:val="28"/>
        </w:rPr>
        <w:t>5. Аукционная документация разрабатывается и утверждается организатором</w:t>
      </w:r>
      <w:r w:rsidRPr="00117A03">
        <w:rPr>
          <w:rFonts w:ascii="Times New Roman" w:eastAsia="Calibri" w:hAnsi="Times New Roman" w:cs="Times New Roman"/>
          <w:sz w:val="28"/>
          <w:szCs w:val="28"/>
        </w:rPr>
        <w:t xml:space="preserve"> торгов и включает извещение о проведении аукциона, образцы типовых документов, представляемых покупателями имущества, проект договора купли-продажи имущества, правила проведения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5.1. Аукционная документация, в том числе извещение о проведении                      аукциона, размещается на сайте организатора торгов не позднее                                    чем за тридцать дней до проведения аукциона. При этом организатор аукциона вправе опубликовать извещение в иных средствах массовой информации,                в том числе электронных, и разместить его на иных сайтах в сети «Интернет».</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5.2. Извещение о проведении аукциона должно содержать следующие               сведения: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собственник имущества и организатор торгов;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наименование органа, принявшего решение о реализации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реквизиты решения о реализации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способ реализации имущества и форма (при проведении продажи в электронной форме);</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наименование имущества и иные позволяющие его индивидуализировать сведения (характеристика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обременения продаваемого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lastRenderedPageBreak/>
        <w:t>- начальная цена продажи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величина повышения начальной цены («шаг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размер задатка, срок и порядок его внесения, необходимые реквизиты счетов, порядок возвращения задатка, а также указание на то, что 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условия и сроки платежа, необходимые реквизиты счетов;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порядок, место, даты начала и окончания подачи заявок;</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срок определения участников аукциона (признание претендентов                      участниками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исчерпывающий перечень представляемых участниками аукциона               документов и требования к их оформлению;</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порядок ознакомления покупателей с иной информацией, условиями                договора купли-продажи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срок заключения договора купли-продажи такого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порядок определения победителей;</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существенные условия договора купли-продажи;</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место и срок подведения итогов продажи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6. Начальная цена реализации имущества определяется в соответствии</w:t>
      </w:r>
      <w:r w:rsidRPr="00117A03">
        <w:rPr>
          <w:rFonts w:ascii="Times New Roman" w:eastAsia="Calibri" w:hAnsi="Times New Roman" w:cs="Times New Roman"/>
          <w:sz w:val="28"/>
          <w:szCs w:val="28"/>
        </w:rPr>
        <w:br/>
        <w:t>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информационного сообщения о реализации имущества прошло не более чем шесть месяцев.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Раздел </w:t>
      </w:r>
      <w:r w:rsidRPr="00117A03">
        <w:rPr>
          <w:rFonts w:ascii="Times New Roman" w:eastAsia="Calibri" w:hAnsi="Times New Roman" w:cs="Times New Roman"/>
          <w:sz w:val="28"/>
          <w:szCs w:val="28"/>
          <w:lang w:val="en-US"/>
        </w:rPr>
        <w:t>IV</w:t>
      </w:r>
      <w:r w:rsidRPr="00117A03">
        <w:rPr>
          <w:rFonts w:ascii="Times New Roman" w:eastAsia="Calibri" w:hAnsi="Times New Roman" w:cs="Times New Roman"/>
          <w:sz w:val="28"/>
          <w:szCs w:val="28"/>
        </w:rPr>
        <w:t>. Условия участия в аукционе</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1. Прием заявок начинается с даты, объявленной в извещении о прове-дении аукциона, осуществляется в течение не менее 25-и календарных дней.</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pacing w:val="-4"/>
          <w:sz w:val="28"/>
          <w:szCs w:val="28"/>
        </w:rPr>
        <w:t>Определение претендентов участниками аукциона осуществляется в течение</w:t>
      </w:r>
      <w:r w:rsidRPr="00117A03">
        <w:rPr>
          <w:rFonts w:ascii="Times New Roman" w:eastAsia="Calibri" w:hAnsi="Times New Roman" w:cs="Times New Roman"/>
          <w:sz w:val="28"/>
          <w:szCs w:val="28"/>
        </w:rPr>
        <w:t xml:space="preserve"> трех рабочих дней с даты окончания приема заявок.</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День проведения аукциона назначается не позднее третьего рабочего              дня со дня признания претендентов участниками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 Одно лицо имеет право подать только одну заявку.</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При подаче заявки на участие в аукционе претенденты представляют              следующие документы:</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юридические лица предъявляют:</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заверенные копии учредительных документов;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(копия           </w:t>
      </w:r>
      <w:r w:rsidRPr="00117A03">
        <w:rPr>
          <w:rFonts w:ascii="Times New Roman" w:eastAsia="Calibri" w:hAnsi="Times New Roman" w:cs="Times New Roman"/>
          <w:spacing w:val="-4"/>
          <w:sz w:val="28"/>
          <w:szCs w:val="28"/>
        </w:rPr>
        <w:t>решения о назначении этого лица или о его избрании) и в соответствии с которым</w:t>
      </w:r>
      <w:r w:rsidRPr="00117A03">
        <w:rPr>
          <w:rFonts w:ascii="Times New Roman" w:eastAsia="Calibri" w:hAnsi="Times New Roman" w:cs="Times New Roman"/>
          <w:sz w:val="28"/>
          <w:szCs w:val="28"/>
        </w:rPr>
        <w:t xml:space="preserve"> руководитель юридического лица обладает правом действовать от имени               юридического лица без доверенности;</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lastRenderedPageBreak/>
        <w:t>- физические лица предъявляют документ, удостоверяющий личность, или представляют копии всех его листов.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В случае если от имени претендента действует его представитель</w:t>
      </w:r>
      <w:r w:rsidRPr="00117A03">
        <w:rPr>
          <w:rFonts w:ascii="Times New Roman" w:eastAsia="Calibri" w:hAnsi="Times New Roman" w:cs="Times New Roman"/>
          <w:sz w:val="28"/>
          <w:szCs w:val="28"/>
        </w:rPr>
        <w:br/>
        <w:t>по доверенности, к заявке должна быть приложена доверенность на осуществление действий от имени претендента, оформленная в установленном порядке,</w:t>
      </w:r>
      <w:r w:rsidRPr="00117A03">
        <w:rPr>
          <w:rFonts w:ascii="Times New Roman" w:eastAsia="Calibri" w:hAnsi="Times New Roman" w:cs="Times New Roman"/>
          <w:sz w:val="28"/>
          <w:szCs w:val="28"/>
        </w:rPr>
        <w:br/>
        <w:t>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Заявка и опись представленных документов составляются в двух экземплярах, один из которых остается у организатора аукциона, другой – у заявителя.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В случае реализации имущества в электронной форме заявка и иные представленные одновременно с ней документы подаются в форме электронных                документов.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3. Для участия в аукционе претендент вносит задаток в соответствии</w:t>
      </w:r>
      <w:r w:rsidRPr="00117A03">
        <w:rPr>
          <w:rFonts w:ascii="Times New Roman" w:eastAsia="Calibri" w:hAnsi="Times New Roman" w:cs="Times New Roman"/>
          <w:sz w:val="28"/>
          <w:szCs w:val="28"/>
        </w:rPr>
        <w:br/>
        <w:t>с договором о задатке на счет, указанный в извещении о проведении торгов. Документом, подтверждающим поступление задатка на счет организатора              торгов, является выписка со счета организатора торгов.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4. Претендент не допускается к участию в аукционе по следующим основаниям:</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представлены не все документы в соответствии с перечнем, указанным</w:t>
      </w:r>
      <w:r w:rsidRPr="00117A03">
        <w:rPr>
          <w:rFonts w:ascii="Times New Roman" w:eastAsia="Calibri" w:hAnsi="Times New Roman" w:cs="Times New Roman"/>
          <w:sz w:val="28"/>
          <w:szCs w:val="28"/>
        </w:rPr>
        <w:br/>
        <w:t>в извещении о проведении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заявка подана лицом, не уполномоченным претендентом на осуществ-ление таких действий;</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не подтверждено поступление в установленный срок задатка на счет,           указанный в извещении о проведении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Перечень оснований отказа претенденту в участии в аукционе является               исчерпывающим.</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5.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w:t>
      </w:r>
      <w:r w:rsidRPr="00117A03">
        <w:rPr>
          <w:rFonts w:ascii="Times New Roman" w:eastAsia="Calibri" w:hAnsi="Times New Roman" w:cs="Times New Roman"/>
          <w:spacing w:val="-4"/>
          <w:sz w:val="28"/>
          <w:szCs w:val="28"/>
        </w:rPr>
        <w:t>заявок задаток возвращается в порядке, установленном для участников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 xml:space="preserve">Раздел </w:t>
      </w:r>
      <w:r w:rsidRPr="00117A03">
        <w:rPr>
          <w:rFonts w:ascii="Times New Roman" w:eastAsia="Calibri" w:hAnsi="Times New Roman" w:cs="Times New Roman"/>
          <w:sz w:val="28"/>
          <w:szCs w:val="28"/>
          <w:lang w:val="en-US"/>
        </w:rPr>
        <w:t>V</w:t>
      </w:r>
      <w:r w:rsidRPr="00117A03">
        <w:rPr>
          <w:rFonts w:ascii="Times New Roman" w:eastAsia="Calibri" w:hAnsi="Times New Roman" w:cs="Times New Roman"/>
          <w:sz w:val="28"/>
          <w:szCs w:val="28"/>
        </w:rPr>
        <w:t>. Порядок проведения аукциона и оформление его результатов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1. В день определения участников аукциона, указанный в извещении</w:t>
      </w:r>
      <w:r w:rsidRPr="00117A03">
        <w:rPr>
          <w:rFonts w:ascii="Times New Roman" w:eastAsia="Calibri" w:hAnsi="Times New Roman" w:cs="Times New Roman"/>
          <w:sz w:val="28"/>
          <w:szCs w:val="28"/>
        </w:rPr>
        <w:br/>
        <w:t>о проведении аукциона, организатор торгов рассматривает заявки и документы претендентов, устанавливает факт поступления от претендентов задатков</w:t>
      </w:r>
      <w:r w:rsidRPr="00117A03">
        <w:rPr>
          <w:rFonts w:ascii="Times New Roman" w:eastAsia="Calibri" w:hAnsi="Times New Roman" w:cs="Times New Roman"/>
          <w:sz w:val="28"/>
          <w:szCs w:val="28"/>
        </w:rPr>
        <w:br/>
        <w:t xml:space="preserve">на основании выписки (выписок) с соответствующего счета и принимает               </w:t>
      </w:r>
      <w:r w:rsidRPr="00117A03">
        <w:rPr>
          <w:rFonts w:ascii="Times New Roman" w:eastAsia="Calibri" w:hAnsi="Times New Roman" w:cs="Times New Roman"/>
          <w:sz w:val="28"/>
          <w:szCs w:val="28"/>
        </w:rPr>
        <w:lastRenderedPageBreak/>
        <w:t xml:space="preserve">решение о признании претендентов участниками аукциона или об отказе                  в допуске претендентов к участию в аукционе. </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Решения организатора торгов о признании претендентов участниками                     аукциона оформляется протоколом. С момента оформления протокола претендент приобретает статус участника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 Аукцион проводится в следующем порядке:</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2.1. Аукцион ведет аукционист в присутствии уполномоченного представителя организатора торгов, который обеспечивает порядок при проведении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2.2. Участникам аукциона выдаются пронумерованные карточки участника аукциона (далее – карточки).</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2.3. Торги начинаются с объявления уполномоченным представителем продавца об открытии аукциона.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2.4. После открытия аукциона аукционистом оглашаются наименование имущества, основные его характеристики, начальная цена реализации имущества и «шаг аукциона» («шаг аукциона» в течение торгов не изменяется).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pacing w:val="-6"/>
          <w:sz w:val="28"/>
          <w:szCs w:val="28"/>
        </w:rPr>
        <w:t>2.5. После оглашения аукционистом начальной цены реализации имущества</w:t>
      </w:r>
      <w:r w:rsidRPr="00117A03">
        <w:rPr>
          <w:rFonts w:ascii="Times New Roman" w:eastAsia="Calibri" w:hAnsi="Times New Roman" w:cs="Times New Roman"/>
          <w:sz w:val="28"/>
          <w:szCs w:val="28"/>
        </w:rPr>
        <w:t xml:space="preserve"> участникам предлагается заявить эту цену путем поднятия карточек.</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2.6. После заявления участниками начальной цены аукционист предлагает заявлять свои предложения по цене реализации, превышающей начальную           цену.</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Каждая последующая цена, превышающая предыдущую цену                           на «шаг аукциона», заявляется участниками аукциона путем поднятия                    карточек. В случае заявления кратной «шагу аукциона» цены, эта цена заявляется участниками аукциона путем поднятия карточек и ее оглашения.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2.7.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реализации.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не поднял карточку и не заявил последующую цену, то аукцион завершается.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2.8. По завершении торгов аукционист объявляет о продаже имущества, называет его продажную цену и номер карточки победителя торгов. Победи-телем аукциона признается участник, номер карточки которого и заявленная           им цена были названы последними.</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2.9. Цена имущества, предложенная победителем аукциона, заносится              в протокол об итогах аукциона, составляемый в двух экземплярах.</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2.10. Если после троекратного объявления начальной цены ни один                из участников аукциона не поднял карточку, то аукцион признается несостоявшимся.</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Протокол об итогах аукциона, подписанный аукционистом и уполномоченным представителем организатора торгов, является документом, удостоверяющим право победителя аукциона на заключение договора купли-продажи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lastRenderedPageBreak/>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3. Лицам, перечислившим задаток для участия в аукционе, денежные средства возвращаются в следующем порядке:</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3.1. Участникам аукциона, за исключением его победителя, – в течение</w:t>
      </w:r>
      <w:r w:rsidRPr="00117A03">
        <w:rPr>
          <w:rFonts w:ascii="Times New Roman" w:eastAsia="Calibri" w:hAnsi="Times New Roman" w:cs="Times New Roman"/>
          <w:sz w:val="28"/>
          <w:szCs w:val="28"/>
        </w:rPr>
        <w:br/>
        <w:t>пяти календарных дней со дня подведения итогов.</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3.2. Претендентам, не допущенным к участию в аукционе, – в течение</w:t>
      </w:r>
      <w:r w:rsidRPr="00117A03">
        <w:rPr>
          <w:rFonts w:ascii="Times New Roman" w:eastAsia="Calibri" w:hAnsi="Times New Roman" w:cs="Times New Roman"/>
          <w:sz w:val="28"/>
          <w:szCs w:val="28"/>
        </w:rPr>
        <w:br/>
      </w:r>
      <w:r w:rsidRPr="00117A03">
        <w:rPr>
          <w:rFonts w:ascii="Times New Roman" w:eastAsia="Calibri" w:hAnsi="Times New Roman" w:cs="Times New Roman"/>
          <w:spacing w:val="-6"/>
          <w:sz w:val="28"/>
          <w:szCs w:val="28"/>
        </w:rPr>
        <w:t>пяти календарных дней со дня подписания протокола о признании претендентов</w:t>
      </w:r>
      <w:r w:rsidRPr="00117A03">
        <w:rPr>
          <w:rFonts w:ascii="Times New Roman" w:eastAsia="Calibri" w:hAnsi="Times New Roman" w:cs="Times New Roman"/>
          <w:sz w:val="28"/>
          <w:szCs w:val="28"/>
        </w:rPr>
        <w:t xml:space="preserve"> участниками аукциона.</w:t>
      </w:r>
    </w:p>
    <w:p w:rsidR="00117A03" w:rsidRPr="00117A03" w:rsidRDefault="00117A03" w:rsidP="00117A03">
      <w:pPr>
        <w:spacing w:after="0" w:line="240" w:lineRule="auto"/>
        <w:ind w:firstLine="567"/>
        <w:jc w:val="both"/>
        <w:rPr>
          <w:rFonts w:ascii="Times New Roman" w:eastAsia="Calibri" w:hAnsi="Times New Roman" w:cs="Times New Roman"/>
          <w:spacing w:val="-4"/>
          <w:sz w:val="28"/>
          <w:szCs w:val="28"/>
        </w:rPr>
      </w:pPr>
      <w:r w:rsidRPr="00117A03">
        <w:rPr>
          <w:rFonts w:ascii="Times New Roman" w:eastAsia="Calibri" w:hAnsi="Times New Roman" w:cs="Times New Roman"/>
          <w:sz w:val="28"/>
          <w:szCs w:val="28"/>
        </w:rPr>
        <w:t>4. Договор купли-продажи заключается с победителем аукциона в течение пяти рабочих дней с даты подведения итогов аукциона. Внесенный победи-</w:t>
      </w:r>
      <w:r w:rsidRPr="00117A03">
        <w:rPr>
          <w:rFonts w:ascii="Times New Roman" w:eastAsia="Calibri" w:hAnsi="Times New Roman" w:cs="Times New Roman"/>
          <w:spacing w:val="-4"/>
          <w:sz w:val="28"/>
          <w:szCs w:val="28"/>
        </w:rPr>
        <w:t>телем аукциона задаток засчитывается в счет оплаты приобретаемого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При уклонении или отказе победителя аукциона от заключения</w:t>
      </w:r>
      <w:r w:rsidRPr="00117A03">
        <w:rPr>
          <w:rFonts w:ascii="Times New Roman" w:eastAsia="Calibri" w:hAnsi="Times New Roman" w:cs="Times New Roman"/>
          <w:sz w:val="28"/>
          <w:szCs w:val="28"/>
        </w:rPr>
        <w:br/>
        <w:t>в установленный срок договора купли-продажи имущества задаток                             ему не возвращается и он утрачивает право на заключение указанного договора.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r w:rsidRPr="00117A03">
        <w:rPr>
          <w:rFonts w:ascii="Times New Roman" w:eastAsia="Calibri" w:hAnsi="Times New Roman" w:cs="Times New Roman"/>
          <w:sz w:val="28"/>
          <w:szCs w:val="28"/>
        </w:rPr>
        <w:t>5.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после полной оплаты имущества.</w:t>
      </w:r>
    </w:p>
    <w:p w:rsidR="00117A03" w:rsidRPr="00117A03" w:rsidRDefault="00117A03" w:rsidP="00117A03">
      <w:pPr>
        <w:spacing w:after="0" w:line="240" w:lineRule="auto"/>
        <w:ind w:firstLine="567"/>
        <w:jc w:val="both"/>
        <w:rPr>
          <w:rFonts w:ascii="Times New Roman" w:eastAsia="Calibri" w:hAnsi="Times New Roman" w:cs="Times New Roman"/>
          <w:sz w:val="28"/>
          <w:szCs w:val="28"/>
        </w:rPr>
      </w:pPr>
    </w:p>
    <w:p w:rsidR="00E321B9" w:rsidRDefault="00E321B9"/>
    <w:sectPr w:rsidR="00E321B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6736"/>
      <w:docPartObj>
        <w:docPartGallery w:val="Page Numbers (Top of Page)"/>
        <w:docPartUnique/>
      </w:docPartObj>
    </w:sdtPr>
    <w:sdtEndPr>
      <w:rPr>
        <w:sz w:val="20"/>
        <w:szCs w:val="20"/>
      </w:rPr>
    </w:sdtEndPr>
    <w:sdtContent>
      <w:p w:rsidR="007672C2" w:rsidRDefault="0057050D">
        <w:pPr>
          <w:pStyle w:val="a4"/>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3E"/>
    <w:rsid w:val="00117A03"/>
    <w:rsid w:val="0057050D"/>
    <w:rsid w:val="00CD653E"/>
    <w:rsid w:val="00E3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D8B53-5FD8-4B0A-89C3-73B31201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A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7A03"/>
    <w:pPr>
      <w:tabs>
        <w:tab w:val="center" w:pos="4677"/>
        <w:tab w:val="right" w:pos="9355"/>
      </w:tabs>
      <w:spacing w:after="0" w:line="240" w:lineRule="auto"/>
    </w:pPr>
    <w:rPr>
      <w:rFonts w:ascii="Times New Roman" w:hAnsi="Times New Roman"/>
      <w:sz w:val="28"/>
    </w:rPr>
  </w:style>
  <w:style w:type="character" w:customStyle="1" w:styleId="a5">
    <w:name w:val="Верхний колонтитул Знак"/>
    <w:basedOn w:val="a0"/>
    <w:link w:val="a4"/>
    <w:uiPriority w:val="99"/>
    <w:rsid w:val="00117A0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13231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Вострокнутова Анастасия Владимировна</cp:lastModifiedBy>
  <cp:revision>2</cp:revision>
  <dcterms:created xsi:type="dcterms:W3CDTF">2017-04-25T10:11:00Z</dcterms:created>
  <dcterms:modified xsi:type="dcterms:W3CDTF">2017-04-25T10:11:00Z</dcterms:modified>
</cp:coreProperties>
</file>